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9B83F" w14:textId="52D45B7F" w:rsidR="2EAD9C41" w:rsidRDefault="2EAD9C41" w:rsidP="2673269B">
      <w:pPr>
        <w:spacing w:before="60" w:after="60" w:line="260" w:lineRule="atLeast"/>
      </w:pPr>
      <w:r w:rsidRPr="000753A9">
        <w:rPr>
          <w:rFonts w:eastAsia="Arial"/>
          <w:color w:val="auto"/>
          <w:szCs w:val="20"/>
        </w:rPr>
        <w:t>Retirement Readiness Series</w:t>
      </w:r>
    </w:p>
    <w:p w14:paraId="7F2C63DA" w14:textId="770FA23F" w:rsidR="2673269B" w:rsidRDefault="2673269B" w:rsidP="2673269B"/>
    <w:p w14:paraId="30C32276" w14:textId="5026F24B" w:rsidR="00CA6EA6" w:rsidRPr="003D12A9" w:rsidRDefault="00CA6EA6" w:rsidP="2673269B">
      <w:pPr>
        <w:pStyle w:val="Title"/>
        <w:pBdr>
          <w:bottom w:val="single" w:sz="4" w:space="0" w:color="FFB81C"/>
        </w:pBdr>
        <w:spacing w:line="270" w:lineRule="atLeast"/>
      </w:pPr>
      <w:r>
        <w:t>Retirement Readiness: Your Passport to the Next Chapter</w:t>
      </w:r>
    </w:p>
    <w:p w14:paraId="490DC662" w14:textId="487F18D5" w:rsidR="00CA6EA6" w:rsidRPr="003D12A9" w:rsidRDefault="00CA6EA6" w:rsidP="003D12A9">
      <w:pPr>
        <w:pStyle w:val="Subtitle"/>
        <w:spacing w:after="80" w:line="270" w:lineRule="atLeast"/>
      </w:pPr>
      <w:r>
        <w:t>The Human Side of Retirement: What Science Tells Us About Aging Well</w:t>
      </w:r>
    </w:p>
    <w:p w14:paraId="4C2DD351" w14:textId="273260BE" w:rsidR="00CA6EA6" w:rsidRPr="003D12A9" w:rsidRDefault="00CA6EA6" w:rsidP="2673269B">
      <w:pPr>
        <w:pStyle w:val="Heading1"/>
        <w:pBdr>
          <w:bottom w:val="single" w:sz="4" w:space="0" w:color="FFB81C"/>
        </w:pBdr>
        <w:spacing w:after="120" w:line="270" w:lineRule="atLeast"/>
      </w:pPr>
      <w:r>
        <w:t>About This Session</w:t>
      </w:r>
    </w:p>
    <w:p w14:paraId="1510A47E" w14:textId="434345AE" w:rsidR="00CA6EA6" w:rsidRPr="003D12A9" w:rsidRDefault="00CA6EA6" w:rsidP="003D12A9">
      <w:pPr>
        <w:spacing w:before="60" w:after="60" w:line="270" w:lineRule="atLeast"/>
      </w:pPr>
      <w:r>
        <w:t>This guide summarizes the Retirement Readiness session, which looked at the non-financial side of retirement: how our bodies age, why relationships matter, and how to keep finding purpose after leaving work. Use it as a quick reference as you plan your own next chapter.</w:t>
      </w:r>
    </w:p>
    <w:p w14:paraId="3A8335FD" w14:textId="3C73E5A2" w:rsidR="00CA6EA6" w:rsidRPr="003D12A9" w:rsidRDefault="00CA6EA6" w:rsidP="003D12A9">
      <w:pPr>
        <w:pStyle w:val="Heading2"/>
        <w:spacing w:before="280" w:line="270" w:lineRule="atLeast"/>
      </w:pPr>
      <w:r>
        <w:t>Guest Speakers</w:t>
      </w:r>
    </w:p>
    <w:p w14:paraId="56BAF7EF" w14:textId="2283C4CD" w:rsidR="00CA6EA6" w:rsidRPr="003D12A9" w:rsidRDefault="00CA6EA6" w:rsidP="003D12A9">
      <w:pPr>
        <w:pStyle w:val="ListBullet"/>
        <w:spacing w:before="40" w:after="40" w:line="270" w:lineRule="atLeast"/>
      </w:pPr>
      <w:r>
        <w:t xml:space="preserve">Aditi U. Gurkar, PhD – Associate Professor of Medicine; Associate Vice Chair of Academic Advancement, Aging Institute, Division of Geriatric Medicine, Department of Medicine. Her research focuses on the biology of aging and how to extend </w:t>
      </w:r>
      <w:proofErr w:type="spellStart"/>
      <w:r>
        <w:t>healthspan</w:t>
      </w:r>
      <w:proofErr w:type="spellEnd"/>
      <w:r>
        <w:t>.</w:t>
      </w:r>
    </w:p>
    <w:p w14:paraId="5DC68189" w14:textId="50E29538" w:rsidR="00CA6EA6" w:rsidRPr="003D12A9" w:rsidRDefault="00CA6EA6" w:rsidP="003D12A9">
      <w:pPr>
        <w:pStyle w:val="ListBullet"/>
        <w:spacing w:before="40" w:after="40" w:line="270" w:lineRule="atLeast"/>
      </w:pPr>
      <w:r>
        <w:t>Lena K. Makaroun, MD, MS – Assistant Professor of Geriatrics, University of Pittsburgh School of Medicine; Geriatrician and Core Investigator, VA Pittsburgh Healthcare System (CHERP). Her research focuses on social risk factors for older adults.</w:t>
      </w:r>
    </w:p>
    <w:p w14:paraId="2A464F4F" w14:textId="65EA4027" w:rsidR="00CA6EA6" w:rsidRPr="003D12A9" w:rsidRDefault="00CA6EA6" w:rsidP="003D12A9">
      <w:pPr>
        <w:pStyle w:val="Heading2"/>
        <w:spacing w:before="280" w:line="270" w:lineRule="atLeast"/>
      </w:pPr>
      <w:r>
        <w:t>Session Itinerary</w:t>
      </w:r>
    </w:p>
    <w:p w14:paraId="665D41BE" w14:textId="326CE608" w:rsidR="00CA6EA6" w:rsidRPr="003D12A9" w:rsidRDefault="00CA6EA6" w:rsidP="003D12A9">
      <w:pPr>
        <w:pStyle w:val="ListBullet"/>
        <w:spacing w:before="40" w:after="40" w:line="270" w:lineRule="atLeast"/>
      </w:pPr>
      <w:r>
        <w:t>Welcome &amp; Session Overview – Office of Human Resources, Benefits Department</w:t>
      </w:r>
    </w:p>
    <w:p w14:paraId="22B01122" w14:textId="57F3435A" w:rsidR="00CA6EA6" w:rsidRPr="003D12A9" w:rsidRDefault="00CA6EA6" w:rsidP="003D12A9">
      <w:pPr>
        <w:pStyle w:val="ListBullet"/>
        <w:spacing w:before="40" w:after="40" w:line="270" w:lineRule="atLeast"/>
      </w:pPr>
      <w:r>
        <w:t xml:space="preserve">Own Your </w:t>
      </w:r>
      <w:proofErr w:type="spellStart"/>
      <w:r>
        <w:t>Healthspan</w:t>
      </w:r>
      <w:proofErr w:type="spellEnd"/>
      <w:r>
        <w:t xml:space="preserve"> – Aditi Gurkar, PhD</w:t>
      </w:r>
    </w:p>
    <w:p w14:paraId="578E0989" w14:textId="21BFE2FA" w:rsidR="00CA6EA6" w:rsidRPr="003D12A9" w:rsidRDefault="00CA6EA6" w:rsidP="003D12A9">
      <w:pPr>
        <w:pStyle w:val="ListBullet"/>
        <w:spacing w:before="40" w:after="40" w:line="270" w:lineRule="atLeast"/>
      </w:pPr>
      <w:r>
        <w:t>Aging Well Through People and Purpose – Lena K. Makaroun, MD, MS</w:t>
      </w:r>
    </w:p>
    <w:p w14:paraId="7F10B1D8" w14:textId="76BBAF44" w:rsidR="00CA6EA6" w:rsidRPr="003D12A9" w:rsidRDefault="00CA6EA6" w:rsidP="003D12A9">
      <w:pPr>
        <w:pStyle w:val="ListBullet"/>
        <w:spacing w:before="40" w:after="40" w:line="270" w:lineRule="atLeast"/>
      </w:pPr>
      <w:r>
        <w:t>Q&amp;A</w:t>
      </w:r>
    </w:p>
    <w:p w14:paraId="3E83ACF2" w14:textId="47FC4F42" w:rsidR="00CA6EA6" w:rsidRPr="003D12A9" w:rsidRDefault="00CA6EA6" w:rsidP="003D12A9">
      <w:pPr>
        <w:pStyle w:val="ListBullet"/>
        <w:spacing w:before="40" w:after="40" w:line="270" w:lineRule="atLeast"/>
      </w:pPr>
      <w:r>
        <w:t>Wrap-Up of Retirement Readiness – what's next, resources, and feedback</w:t>
      </w:r>
    </w:p>
    <w:p w14:paraId="5C8E94F5" w14:textId="6F180A7C" w:rsidR="00CA6EA6" w:rsidRPr="003D12A9" w:rsidRDefault="00CA6EA6" w:rsidP="2673269B">
      <w:pPr>
        <w:pStyle w:val="Heading1"/>
        <w:pBdr>
          <w:bottom w:val="single" w:sz="4" w:space="0" w:color="FFB81C"/>
        </w:pBdr>
        <w:spacing w:after="120" w:line="270" w:lineRule="atLeast"/>
      </w:pPr>
      <w:r>
        <w:t xml:space="preserve">Part 1: Own Your </w:t>
      </w:r>
      <w:proofErr w:type="spellStart"/>
      <w:r>
        <w:t>Healthspan</w:t>
      </w:r>
      <w:proofErr w:type="spellEnd"/>
    </w:p>
    <w:p w14:paraId="64F55B0F" w14:textId="07F2EF05" w:rsidR="00CA6EA6" w:rsidRPr="003D12A9" w:rsidRDefault="00CA6EA6" w:rsidP="003D12A9">
      <w:pPr>
        <w:spacing w:before="60" w:after="60" w:line="270" w:lineRule="atLeast"/>
      </w:pPr>
      <w:r>
        <w:t>Presented by Aditi Gurkar, PhD</w:t>
      </w:r>
    </w:p>
    <w:p w14:paraId="33B34968" w14:textId="5AEFD932" w:rsidR="00CA6EA6" w:rsidRPr="003D12A9" w:rsidRDefault="00CA6EA6" w:rsidP="003D12A9">
      <w:pPr>
        <w:pStyle w:val="Heading2"/>
        <w:spacing w:before="280" w:line="270" w:lineRule="atLeast"/>
      </w:pPr>
      <w:r>
        <w:t>Why Do People Age Differently?</w:t>
      </w:r>
    </w:p>
    <w:p w14:paraId="0013F766" w14:textId="5EA27FB5" w:rsidR="00CA6EA6" w:rsidRPr="003D12A9" w:rsidRDefault="00CA6EA6" w:rsidP="003D12A9">
      <w:pPr>
        <w:spacing w:before="60" w:after="60" w:line="270" w:lineRule="atLeast"/>
      </w:pPr>
      <w:r>
        <w:t xml:space="preserve">Many traits are strongly inherited. For example, height is about 80% heritable and fingerprint ridge </w:t>
      </w:r>
      <w:proofErr w:type="gramStart"/>
      <w:r>
        <w:t>count</w:t>
      </w:r>
      <w:proofErr w:type="gramEnd"/>
      <w:r>
        <w:t xml:space="preserve"> about 90%. Lifespan is different: twin and family studies show that genes account for less than 25% of what determines longevity. The other </w:t>
      </w:r>
      <w:proofErr w:type="gramStart"/>
      <w:r>
        <w:t>three-quarters</w:t>
      </w:r>
      <w:proofErr w:type="gramEnd"/>
      <w:r>
        <w:t xml:space="preserve"> </w:t>
      </w:r>
      <w:proofErr w:type="gramStart"/>
      <w:r>
        <w:t>is</w:t>
      </w:r>
      <w:proofErr w:type="gramEnd"/>
      <w:r>
        <w:t xml:space="preserve"> shaped by things you can control.</w:t>
      </w:r>
    </w:p>
    <w:p w14:paraId="1906A4A7" w14:textId="1EC33514" w:rsidR="00CA6EA6" w:rsidRPr="003D12A9" w:rsidRDefault="00CA6EA6" w:rsidP="003D12A9">
      <w:pPr>
        <w:pStyle w:val="Heading2"/>
        <w:spacing w:before="280" w:line="270" w:lineRule="atLeast"/>
      </w:pPr>
      <w:r>
        <w:t>What Predicts Healthy Aging?</w:t>
      </w:r>
    </w:p>
    <w:p w14:paraId="2EE74EAC" w14:textId="1AA79230" w:rsidR="00CA6EA6" w:rsidRPr="003D12A9" w:rsidRDefault="00CA6EA6" w:rsidP="003D12A9">
      <w:pPr>
        <w:spacing w:before="60" w:after="60" w:line="270" w:lineRule="atLeast"/>
      </w:pPr>
      <w:r w:rsidRPr="2673269B">
        <w:rPr>
          <w:b/>
          <w:bCs/>
        </w:rPr>
        <w:t xml:space="preserve">Cardiorespiratory fitness. </w:t>
      </w:r>
      <w:r>
        <w:t>Adults in the lowest VO2 max group had a 4x higher risk of death than those in the highest. The benefit of fitness has no upper limit and is largest in adults 70 and older (</w:t>
      </w:r>
      <w:proofErr w:type="spellStart"/>
      <w:r>
        <w:t>Mandsager</w:t>
      </w:r>
      <w:proofErr w:type="spellEnd"/>
      <w:r>
        <w:t xml:space="preserve"> et al., JAMA Network Open, 2018).</w:t>
      </w:r>
    </w:p>
    <w:p w14:paraId="7AC1DFDC" w14:textId="0624E5DF" w:rsidR="00CA6EA6" w:rsidRPr="003D12A9" w:rsidRDefault="00CA6EA6" w:rsidP="003D12A9">
      <w:pPr>
        <w:spacing w:before="60" w:after="60" w:line="270" w:lineRule="atLeast"/>
      </w:pPr>
      <w:r w:rsidRPr="2673269B">
        <w:rPr>
          <w:b/>
          <w:bCs/>
        </w:rPr>
        <w:t xml:space="preserve">Grip strength. </w:t>
      </w:r>
      <w:r>
        <w:t>Older adults whose grip strength increased over five years had a 31% lower risk of death. Grip strength is a simple, low-cost marker of whole-body aging linked to heart disease risk, cognitive decline, and independence (</w:t>
      </w:r>
      <w:proofErr w:type="spellStart"/>
      <w:r>
        <w:t>Granic</w:t>
      </w:r>
      <w:proofErr w:type="spellEnd"/>
      <w:r>
        <w:t xml:space="preserve"> et al., Age and Ageing, 2018).</w:t>
      </w:r>
    </w:p>
    <w:p w14:paraId="7AB5FE91" w14:textId="63CFE15C" w:rsidR="00CA6EA6" w:rsidRPr="003D12A9" w:rsidRDefault="00CA6EA6" w:rsidP="003D12A9">
      <w:pPr>
        <w:spacing w:before="60" w:after="60" w:line="270" w:lineRule="atLeast"/>
      </w:pPr>
      <w:r w:rsidRPr="2673269B">
        <w:rPr>
          <w:b/>
          <w:bCs/>
        </w:rPr>
        <w:t xml:space="preserve">Muscle mass. </w:t>
      </w:r>
      <w:r>
        <w:t>Muscle loss (sarcopenia) is one of the most preventable drivers of frailty. Aim for 1.0–1.2 g of protein per kg of body weight per day and resistance training 2–3 times per week. Doing both together builds more lean muscle than either one alone.</w:t>
      </w:r>
    </w:p>
    <w:p w14:paraId="32F4066D" w14:textId="6F12A96A" w:rsidR="00CA6EA6" w:rsidRPr="003D12A9" w:rsidRDefault="00CA6EA6" w:rsidP="003D12A9">
      <w:pPr>
        <w:spacing w:before="60" w:after="60" w:line="270" w:lineRule="atLeast"/>
      </w:pPr>
      <w:r w:rsidRPr="2673269B">
        <w:rPr>
          <w:b/>
          <w:bCs/>
        </w:rPr>
        <w:lastRenderedPageBreak/>
        <w:t xml:space="preserve">Sleep. </w:t>
      </w:r>
      <w:r>
        <w:t xml:space="preserve">A 2025 UK Biobank study of 27,500 adults linked poor sleep quality to an older "brain age," partly through inflammation (Dove et al., </w:t>
      </w:r>
      <w:proofErr w:type="spellStart"/>
      <w:r>
        <w:t>eBioMedicine</w:t>
      </w:r>
      <w:proofErr w:type="spellEnd"/>
      <w:r>
        <w:t>, 2025). Five markers of healthy sleep:</w:t>
      </w:r>
    </w:p>
    <w:p w14:paraId="56A73FEA" w14:textId="3D44B0F0" w:rsidR="00CA6EA6" w:rsidRPr="003D12A9" w:rsidRDefault="00CA6EA6" w:rsidP="003D12A9">
      <w:pPr>
        <w:pStyle w:val="ListBullet"/>
        <w:spacing w:before="40" w:after="40" w:line="270" w:lineRule="atLeast"/>
      </w:pPr>
      <w:r>
        <w:t>7–8 hours per night</w:t>
      </w:r>
    </w:p>
    <w:p w14:paraId="694BD650" w14:textId="2331F536" w:rsidR="00CA6EA6" w:rsidRPr="003D12A9" w:rsidRDefault="00CA6EA6" w:rsidP="003D12A9">
      <w:pPr>
        <w:pStyle w:val="ListBullet"/>
        <w:spacing w:before="40" w:after="40" w:line="270" w:lineRule="atLeast"/>
      </w:pPr>
      <w:r>
        <w:t>No chronic insomnia</w:t>
      </w:r>
    </w:p>
    <w:p w14:paraId="1D69A0E4" w14:textId="6DFD1A86" w:rsidR="00CA6EA6" w:rsidRPr="003D12A9" w:rsidRDefault="00CA6EA6" w:rsidP="003D12A9">
      <w:pPr>
        <w:pStyle w:val="ListBullet"/>
        <w:spacing w:before="40" w:after="40" w:line="270" w:lineRule="atLeast"/>
      </w:pPr>
      <w:r>
        <w:t>No habitual snoring</w:t>
      </w:r>
    </w:p>
    <w:p w14:paraId="784E1EE5" w14:textId="53CEB3F6" w:rsidR="00CA6EA6" w:rsidRPr="003D12A9" w:rsidRDefault="00CA6EA6" w:rsidP="003D12A9">
      <w:pPr>
        <w:pStyle w:val="ListBullet"/>
        <w:spacing w:before="40" w:after="40" w:line="270" w:lineRule="atLeast"/>
      </w:pPr>
      <w:r>
        <w:t>No excessive daytime sleepiness</w:t>
      </w:r>
    </w:p>
    <w:p w14:paraId="68042FC0" w14:textId="2326D833" w:rsidR="00CA6EA6" w:rsidRPr="003D12A9" w:rsidRDefault="00CA6EA6" w:rsidP="003D12A9">
      <w:pPr>
        <w:pStyle w:val="ListBullet"/>
        <w:spacing w:before="40" w:after="40" w:line="270" w:lineRule="atLeast"/>
      </w:pPr>
      <w:r>
        <w:t>A consistent, morning-leaning sleep schedule</w:t>
      </w:r>
    </w:p>
    <w:p w14:paraId="03A8BCA2" w14:textId="460FB135" w:rsidR="00CA6EA6" w:rsidRPr="003D12A9" w:rsidRDefault="00CA6EA6" w:rsidP="003D12A9">
      <w:pPr>
        <w:pStyle w:val="Heading2"/>
        <w:spacing w:before="280" w:line="270" w:lineRule="atLeast"/>
      </w:pPr>
      <w:r>
        <w:t xml:space="preserve">Who You Age </w:t>
      </w:r>
      <w:proofErr w:type="gramStart"/>
      <w:r>
        <w:t>With</w:t>
      </w:r>
      <w:proofErr w:type="gramEnd"/>
      <w:r>
        <w:t xml:space="preserve"> Matters</w:t>
      </w:r>
    </w:p>
    <w:p w14:paraId="7B594B32" w14:textId="397DFF2D" w:rsidR="00CA6EA6" w:rsidRPr="003D12A9" w:rsidRDefault="00CA6EA6" w:rsidP="003D12A9">
      <w:pPr>
        <w:spacing w:before="60" w:after="60" w:line="270" w:lineRule="atLeast"/>
      </w:pPr>
      <w:r>
        <w:t xml:space="preserve">The 2023 U.S. Surgeon General's Advisory found that chronic loneliness and social disconnection have a mortality impact </w:t>
      </w:r>
      <w:proofErr w:type="gramStart"/>
      <w:r>
        <w:t>similar to</w:t>
      </w:r>
      <w:proofErr w:type="gramEnd"/>
      <w:r>
        <w:t xml:space="preserve"> smoking 15 cigarettes a day. Key figures:</w:t>
      </w:r>
    </w:p>
    <w:p w14:paraId="2BA6ADC8" w14:textId="4E05BD4C" w:rsidR="00CA6EA6" w:rsidRPr="003D12A9" w:rsidRDefault="00CA6EA6" w:rsidP="003D12A9">
      <w:pPr>
        <w:pStyle w:val="ListBullet"/>
        <w:spacing w:before="40" w:after="40" w:line="270" w:lineRule="atLeast"/>
      </w:pPr>
      <w:r>
        <w:t>+50% dementia risk from chronic loneliness in older adults</w:t>
      </w:r>
    </w:p>
    <w:p w14:paraId="3465ABCC" w14:textId="5A228443" w:rsidR="00CA6EA6" w:rsidRPr="003D12A9" w:rsidRDefault="00CA6EA6" w:rsidP="003D12A9">
      <w:pPr>
        <w:pStyle w:val="ListBullet"/>
        <w:spacing w:before="40" w:after="40" w:line="270" w:lineRule="atLeast"/>
      </w:pPr>
      <w:r>
        <w:t>+29% risk of heart disease from poor social relationships</w:t>
      </w:r>
    </w:p>
    <w:p w14:paraId="3B7C784B" w14:textId="2190C1E7" w:rsidR="00CA6EA6" w:rsidRPr="003D12A9" w:rsidRDefault="00CA6EA6" w:rsidP="003D12A9">
      <w:pPr>
        <w:pStyle w:val="ListBullet"/>
        <w:spacing w:before="40" w:after="40" w:line="270" w:lineRule="atLeast"/>
      </w:pPr>
      <w:r>
        <w:t>+29% risk of premature death from social isolation</w:t>
      </w:r>
    </w:p>
    <w:p w14:paraId="311F9E27" w14:textId="298808ED" w:rsidR="00CA6EA6" w:rsidRPr="003D12A9" w:rsidRDefault="00CA6EA6" w:rsidP="003D12A9">
      <w:pPr>
        <w:pStyle w:val="ListBullet"/>
        <w:spacing w:before="40" w:after="40" w:line="270" w:lineRule="atLeast"/>
      </w:pPr>
      <w:r>
        <w:t>40% of U.S. adults report experiencing loneliness</w:t>
      </w:r>
    </w:p>
    <w:p w14:paraId="25030DE5" w14:textId="6B9FA65C" w:rsidR="00CA6EA6" w:rsidRPr="003D12A9" w:rsidRDefault="00CA6EA6" w:rsidP="003D12A9">
      <w:pPr>
        <w:spacing w:before="60" w:after="60" w:line="270" w:lineRule="atLeast"/>
      </w:pPr>
      <w:r>
        <w:t xml:space="preserve">The Harvard Study of Adult Development, which has </w:t>
      </w:r>
      <w:proofErr w:type="gramStart"/>
      <w:r>
        <w:t>run</w:t>
      </w:r>
      <w:proofErr w:type="gramEnd"/>
      <w:r>
        <w:t xml:space="preserve"> for more than 80 years, found that close relationships, more than money or fame, keep people happy and healthy throughout life.</w:t>
      </w:r>
    </w:p>
    <w:p w14:paraId="0138C7DD" w14:textId="2B4BB666" w:rsidR="00CA6EA6" w:rsidRPr="003D12A9" w:rsidRDefault="00CA6EA6" w:rsidP="003D12A9">
      <w:pPr>
        <w:pStyle w:val="Heading2"/>
        <w:spacing w:before="280" w:line="270" w:lineRule="atLeast"/>
      </w:pPr>
      <w:r>
        <w:t>Healthy Aging in Retirement</w:t>
      </w:r>
    </w:p>
    <w:p w14:paraId="7A580934" w14:textId="6D3F01C3" w:rsidR="00CA6EA6" w:rsidRPr="003D12A9" w:rsidRDefault="00CA6EA6" w:rsidP="003D12A9">
      <w:pPr>
        <w:spacing w:before="60" w:after="60" w:line="270" w:lineRule="atLeast"/>
      </w:pPr>
      <w:r>
        <w:t>Retirement is a turning point for the brain. The Whitehall II study linked retirement to faster decline in verbal memory, in line with a "use it or lose it" pattern. That outcome isn't fixed, though:</w:t>
      </w:r>
    </w:p>
    <w:p w14:paraId="1E65F845" w14:textId="790397BC" w:rsidR="00CA6EA6" w:rsidRPr="003D12A9" w:rsidRDefault="00CA6EA6" w:rsidP="003D12A9">
      <w:pPr>
        <w:pStyle w:val="ListBullet"/>
        <w:spacing w:before="40" w:after="40" w:line="270" w:lineRule="atLeast"/>
      </w:pPr>
      <w:r>
        <w:t>Retirees who viewed their transition positively showed better cognitive trajectories (Nurses' Health Study).</w:t>
      </w:r>
    </w:p>
    <w:p w14:paraId="48F22F21" w14:textId="1A489923" w:rsidR="00CA6EA6" w:rsidRPr="003D12A9" w:rsidRDefault="00CA6EA6" w:rsidP="003D12A9">
      <w:pPr>
        <w:pStyle w:val="ListBullet"/>
        <w:spacing w:before="40" w:after="40" w:line="270" w:lineRule="atLeast"/>
      </w:pPr>
      <w:r>
        <w:t>Many retirees see better mental health and more physical activity after retiring.</w:t>
      </w:r>
    </w:p>
    <w:p w14:paraId="0E06EA72" w14:textId="7F328EF1" w:rsidR="00CA6EA6" w:rsidRPr="003D12A9" w:rsidRDefault="00CA6EA6" w:rsidP="003D12A9">
      <w:pPr>
        <w:pStyle w:val="ListBullet"/>
        <w:spacing w:before="40" w:after="40" w:line="270" w:lineRule="atLeast"/>
      </w:pPr>
      <w:r>
        <w:t>Physical activity tends to dip just before retirement, so protect your habits in the months leading up to it.</w:t>
      </w:r>
    </w:p>
    <w:p w14:paraId="3A5CC8A5" w14:textId="564EE544" w:rsidR="00CA6EA6" w:rsidRPr="003D12A9" w:rsidRDefault="00CA6EA6" w:rsidP="003D12A9">
      <w:pPr>
        <w:pStyle w:val="Heading2"/>
        <w:spacing w:before="280" w:line="270" w:lineRule="atLeast"/>
      </w:pPr>
      <w:r>
        <w:t>Five Things to Start This Year</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719"/>
        <w:gridCol w:w="3798"/>
        <w:gridCol w:w="5557"/>
      </w:tblGrid>
      <w:tr w:rsidR="00CA6EA6" w:rsidRPr="003D12A9" w14:paraId="035E71C6" w14:textId="77777777" w:rsidTr="003D12A9">
        <w:trPr>
          <w:tblHeader/>
        </w:trPr>
        <w:tc>
          <w:tcPr>
            <w:tcW w:w="720" w:type="dxa"/>
            <w:shd w:val="clear" w:color="003594" w:fill="003594"/>
            <w:noWrap/>
            <w:tcMar>
              <w:top w:w="60" w:type="dxa"/>
              <w:left w:w="120" w:type="dxa"/>
              <w:bottom w:w="60" w:type="dxa"/>
              <w:right w:w="120" w:type="dxa"/>
            </w:tcMar>
            <w:vAlign w:val="center"/>
          </w:tcPr>
          <w:p w14:paraId="148A2262" w14:textId="77777777" w:rsidR="00CA6EA6" w:rsidRPr="003D12A9" w:rsidRDefault="00CA6EA6" w:rsidP="003D12A9">
            <w:pPr>
              <w:spacing w:before="60" w:after="60" w:line="270" w:lineRule="atLeast"/>
              <w:rPr>
                <w:rFonts w:eastAsiaTheme="majorEastAsia"/>
                <w:b/>
                <w:color w:val="FFFFFF"/>
                <w:sz w:val="19"/>
                <w:szCs w:val="32"/>
              </w:rPr>
            </w:pPr>
            <w:r w:rsidRPr="003D12A9">
              <w:rPr>
                <w:rFonts w:eastAsiaTheme="majorEastAsia"/>
                <w:b/>
                <w:color w:val="FFFFFF"/>
                <w:sz w:val="19"/>
                <w:szCs w:val="32"/>
              </w:rPr>
              <w:t>#</w:t>
            </w:r>
          </w:p>
        </w:tc>
        <w:tc>
          <w:tcPr>
            <w:tcW w:w="3800" w:type="dxa"/>
            <w:shd w:val="clear" w:color="003594" w:fill="003594"/>
            <w:noWrap/>
            <w:tcMar>
              <w:top w:w="60" w:type="dxa"/>
              <w:left w:w="120" w:type="dxa"/>
              <w:bottom w:w="60" w:type="dxa"/>
              <w:right w:w="120" w:type="dxa"/>
            </w:tcMar>
            <w:vAlign w:val="center"/>
          </w:tcPr>
          <w:p w14:paraId="1255C52C" w14:textId="77777777" w:rsidR="00CA6EA6" w:rsidRPr="003D12A9" w:rsidRDefault="00CA6EA6" w:rsidP="003D12A9">
            <w:pPr>
              <w:spacing w:before="60" w:after="60" w:line="270" w:lineRule="atLeast"/>
              <w:rPr>
                <w:rFonts w:eastAsiaTheme="majorEastAsia"/>
                <w:b/>
                <w:color w:val="FFFFFF"/>
                <w:sz w:val="19"/>
                <w:szCs w:val="32"/>
              </w:rPr>
            </w:pPr>
            <w:r w:rsidRPr="003D12A9">
              <w:rPr>
                <w:rFonts w:eastAsiaTheme="majorEastAsia"/>
                <w:b/>
                <w:color w:val="FFFFFF"/>
                <w:sz w:val="19"/>
                <w:szCs w:val="32"/>
              </w:rPr>
              <w:t>Action</w:t>
            </w:r>
          </w:p>
        </w:tc>
        <w:tc>
          <w:tcPr>
            <w:tcW w:w="5560" w:type="dxa"/>
            <w:shd w:val="clear" w:color="003594" w:fill="003594"/>
            <w:noWrap/>
            <w:tcMar>
              <w:top w:w="60" w:type="dxa"/>
              <w:left w:w="120" w:type="dxa"/>
              <w:bottom w:w="60" w:type="dxa"/>
              <w:right w:w="120" w:type="dxa"/>
            </w:tcMar>
            <w:vAlign w:val="center"/>
          </w:tcPr>
          <w:p w14:paraId="7F79EBF7" w14:textId="77777777" w:rsidR="00CA6EA6" w:rsidRPr="003D12A9" w:rsidRDefault="00CA6EA6" w:rsidP="003D12A9">
            <w:pPr>
              <w:spacing w:before="60" w:after="60" w:line="270" w:lineRule="atLeast"/>
              <w:rPr>
                <w:rFonts w:eastAsiaTheme="majorEastAsia"/>
                <w:b/>
                <w:color w:val="FFFFFF"/>
                <w:sz w:val="19"/>
                <w:szCs w:val="32"/>
              </w:rPr>
            </w:pPr>
            <w:r w:rsidRPr="003D12A9">
              <w:rPr>
                <w:rFonts w:eastAsiaTheme="majorEastAsia"/>
                <w:b/>
                <w:color w:val="FFFFFF"/>
                <w:sz w:val="19"/>
                <w:szCs w:val="32"/>
              </w:rPr>
              <w:t>Why It Matters</w:t>
            </w:r>
          </w:p>
        </w:tc>
      </w:tr>
      <w:tr w:rsidR="00CA6EA6" w:rsidRPr="003D12A9" w14:paraId="3B442029" w14:textId="77777777" w:rsidTr="003D12A9">
        <w:tc>
          <w:tcPr>
            <w:tcW w:w="720" w:type="dxa"/>
            <w:shd w:val="clear" w:color="D6E4F7" w:fill="D6E4F7"/>
            <w:tcMar>
              <w:top w:w="60" w:type="dxa"/>
              <w:left w:w="120" w:type="dxa"/>
              <w:bottom w:w="60" w:type="dxa"/>
              <w:right w:w="120" w:type="dxa"/>
            </w:tcMar>
          </w:tcPr>
          <w:p w14:paraId="593F62F7" w14:textId="77777777" w:rsidR="00CA6EA6" w:rsidRPr="003D12A9" w:rsidRDefault="00CA6EA6" w:rsidP="003D12A9">
            <w:pPr>
              <w:spacing w:before="60" w:after="60" w:line="270" w:lineRule="atLeast"/>
              <w:rPr>
                <w:rFonts w:eastAsiaTheme="majorEastAsia"/>
                <w:b/>
                <w:color w:val="003594"/>
                <w:sz w:val="19"/>
                <w:szCs w:val="32"/>
              </w:rPr>
            </w:pPr>
            <w:r w:rsidRPr="003D12A9">
              <w:rPr>
                <w:rFonts w:eastAsiaTheme="majorEastAsia"/>
                <w:b/>
                <w:color w:val="003594"/>
                <w:sz w:val="19"/>
                <w:szCs w:val="32"/>
              </w:rPr>
              <w:t>1</w:t>
            </w:r>
          </w:p>
        </w:tc>
        <w:tc>
          <w:tcPr>
            <w:tcW w:w="3800" w:type="dxa"/>
            <w:shd w:val="clear" w:color="FFFFFF" w:fill="FFFFFF"/>
            <w:tcMar>
              <w:top w:w="60" w:type="dxa"/>
              <w:left w:w="120" w:type="dxa"/>
              <w:bottom w:w="60" w:type="dxa"/>
              <w:right w:w="120" w:type="dxa"/>
            </w:tcMar>
          </w:tcPr>
          <w:p w14:paraId="6FC473BF"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Strength train</w:t>
            </w:r>
          </w:p>
        </w:tc>
        <w:tc>
          <w:tcPr>
            <w:tcW w:w="5560" w:type="dxa"/>
            <w:shd w:val="clear" w:color="FFFFFF" w:fill="FFFFFF"/>
            <w:tcMar>
              <w:top w:w="60" w:type="dxa"/>
              <w:left w:w="120" w:type="dxa"/>
              <w:bottom w:w="60" w:type="dxa"/>
              <w:right w:w="120" w:type="dxa"/>
            </w:tcMar>
          </w:tcPr>
          <w:p w14:paraId="5E99544E"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2–3 times per week; grip and leg strength predict independence</w:t>
            </w:r>
          </w:p>
        </w:tc>
      </w:tr>
      <w:tr w:rsidR="00CA6EA6" w:rsidRPr="003D12A9" w14:paraId="2F81E4FF" w14:textId="77777777" w:rsidTr="003D12A9">
        <w:tc>
          <w:tcPr>
            <w:tcW w:w="720" w:type="dxa"/>
            <w:shd w:val="clear" w:color="D6E4F7" w:fill="D6E4F7"/>
            <w:tcMar>
              <w:top w:w="60" w:type="dxa"/>
              <w:left w:w="120" w:type="dxa"/>
              <w:bottom w:w="60" w:type="dxa"/>
              <w:right w:w="120" w:type="dxa"/>
            </w:tcMar>
          </w:tcPr>
          <w:p w14:paraId="3F9286FB" w14:textId="77777777" w:rsidR="00CA6EA6" w:rsidRPr="003D12A9" w:rsidRDefault="00CA6EA6" w:rsidP="003D12A9">
            <w:pPr>
              <w:spacing w:before="60" w:after="60" w:line="270" w:lineRule="atLeast"/>
              <w:rPr>
                <w:rFonts w:eastAsiaTheme="majorEastAsia"/>
                <w:b/>
                <w:color w:val="003594"/>
                <w:sz w:val="19"/>
                <w:szCs w:val="32"/>
              </w:rPr>
            </w:pPr>
            <w:r w:rsidRPr="003D12A9">
              <w:rPr>
                <w:rFonts w:eastAsiaTheme="majorEastAsia"/>
                <w:b/>
                <w:color w:val="003594"/>
                <w:sz w:val="19"/>
                <w:szCs w:val="32"/>
              </w:rPr>
              <w:t>2</w:t>
            </w:r>
          </w:p>
        </w:tc>
        <w:tc>
          <w:tcPr>
            <w:tcW w:w="3800" w:type="dxa"/>
            <w:shd w:val="clear" w:color="FFFFFF" w:fill="FFFFFF"/>
            <w:tcMar>
              <w:top w:w="60" w:type="dxa"/>
              <w:left w:w="120" w:type="dxa"/>
              <w:bottom w:w="60" w:type="dxa"/>
              <w:right w:w="120" w:type="dxa"/>
            </w:tcMar>
          </w:tcPr>
          <w:p w14:paraId="73512CF6"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Hit your protein target</w:t>
            </w:r>
          </w:p>
        </w:tc>
        <w:tc>
          <w:tcPr>
            <w:tcW w:w="5560" w:type="dxa"/>
            <w:shd w:val="clear" w:color="FFFFFF" w:fill="FFFFFF"/>
            <w:tcMar>
              <w:top w:w="60" w:type="dxa"/>
              <w:left w:w="120" w:type="dxa"/>
              <w:bottom w:w="60" w:type="dxa"/>
              <w:right w:w="120" w:type="dxa"/>
            </w:tcMar>
          </w:tcPr>
          <w:p w14:paraId="0C36DB25"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About 1.0–1.2 g/kg/day, spread across meals</w:t>
            </w:r>
          </w:p>
        </w:tc>
      </w:tr>
      <w:tr w:rsidR="00CA6EA6" w:rsidRPr="003D12A9" w14:paraId="578A1634" w14:textId="77777777" w:rsidTr="003D12A9">
        <w:tc>
          <w:tcPr>
            <w:tcW w:w="720" w:type="dxa"/>
            <w:shd w:val="clear" w:color="D6E4F7" w:fill="D6E4F7"/>
            <w:tcMar>
              <w:top w:w="60" w:type="dxa"/>
              <w:left w:w="120" w:type="dxa"/>
              <w:bottom w:w="60" w:type="dxa"/>
              <w:right w:w="120" w:type="dxa"/>
            </w:tcMar>
          </w:tcPr>
          <w:p w14:paraId="253ADA36" w14:textId="77777777" w:rsidR="00CA6EA6" w:rsidRPr="003D12A9" w:rsidRDefault="00CA6EA6" w:rsidP="003D12A9">
            <w:pPr>
              <w:spacing w:before="60" w:after="60" w:line="270" w:lineRule="atLeast"/>
              <w:rPr>
                <w:rFonts w:eastAsiaTheme="majorEastAsia"/>
                <w:b/>
                <w:color w:val="003594"/>
                <w:sz w:val="19"/>
                <w:szCs w:val="32"/>
              </w:rPr>
            </w:pPr>
            <w:r w:rsidRPr="003D12A9">
              <w:rPr>
                <w:rFonts w:eastAsiaTheme="majorEastAsia"/>
                <w:b/>
                <w:color w:val="003594"/>
                <w:sz w:val="19"/>
                <w:szCs w:val="32"/>
              </w:rPr>
              <w:t>3</w:t>
            </w:r>
          </w:p>
        </w:tc>
        <w:tc>
          <w:tcPr>
            <w:tcW w:w="3800" w:type="dxa"/>
            <w:shd w:val="clear" w:color="FFFFFF" w:fill="FFFFFF"/>
            <w:tcMar>
              <w:top w:w="60" w:type="dxa"/>
              <w:left w:w="120" w:type="dxa"/>
              <w:bottom w:w="60" w:type="dxa"/>
              <w:right w:w="120" w:type="dxa"/>
            </w:tcMar>
          </w:tcPr>
          <w:p w14:paraId="5DD21FB5"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Protect your sleep</w:t>
            </w:r>
          </w:p>
        </w:tc>
        <w:tc>
          <w:tcPr>
            <w:tcW w:w="5560" w:type="dxa"/>
            <w:shd w:val="clear" w:color="FFFFFF" w:fill="FFFFFF"/>
            <w:tcMar>
              <w:top w:w="60" w:type="dxa"/>
              <w:left w:w="120" w:type="dxa"/>
              <w:bottom w:w="60" w:type="dxa"/>
              <w:right w:w="120" w:type="dxa"/>
            </w:tcMar>
          </w:tcPr>
          <w:p w14:paraId="611757A4"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7–8 hours; treat it like a medical appointment</w:t>
            </w:r>
          </w:p>
        </w:tc>
      </w:tr>
      <w:tr w:rsidR="00CA6EA6" w:rsidRPr="003D12A9" w14:paraId="2FE306F3" w14:textId="77777777" w:rsidTr="003D12A9">
        <w:tc>
          <w:tcPr>
            <w:tcW w:w="720" w:type="dxa"/>
            <w:shd w:val="clear" w:color="D6E4F7" w:fill="D6E4F7"/>
            <w:tcMar>
              <w:top w:w="60" w:type="dxa"/>
              <w:left w:w="120" w:type="dxa"/>
              <w:bottom w:w="60" w:type="dxa"/>
              <w:right w:w="120" w:type="dxa"/>
            </w:tcMar>
          </w:tcPr>
          <w:p w14:paraId="6782AABF" w14:textId="77777777" w:rsidR="00CA6EA6" w:rsidRPr="003D12A9" w:rsidRDefault="00CA6EA6" w:rsidP="003D12A9">
            <w:pPr>
              <w:spacing w:before="60" w:after="60" w:line="270" w:lineRule="atLeast"/>
              <w:rPr>
                <w:rFonts w:eastAsiaTheme="majorEastAsia"/>
                <w:b/>
                <w:color w:val="003594"/>
                <w:sz w:val="19"/>
                <w:szCs w:val="32"/>
              </w:rPr>
            </w:pPr>
            <w:r w:rsidRPr="003D12A9">
              <w:rPr>
                <w:rFonts w:eastAsiaTheme="majorEastAsia"/>
                <w:b/>
                <w:color w:val="003594"/>
                <w:sz w:val="19"/>
                <w:szCs w:val="32"/>
              </w:rPr>
              <w:t>4</w:t>
            </w:r>
          </w:p>
        </w:tc>
        <w:tc>
          <w:tcPr>
            <w:tcW w:w="3800" w:type="dxa"/>
            <w:shd w:val="clear" w:color="FFFFFF" w:fill="FFFFFF"/>
            <w:tcMar>
              <w:top w:w="60" w:type="dxa"/>
              <w:left w:w="120" w:type="dxa"/>
              <w:bottom w:w="60" w:type="dxa"/>
              <w:right w:w="120" w:type="dxa"/>
            </w:tcMar>
          </w:tcPr>
          <w:p w14:paraId="1ADD43C5"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Build a standing social commitment</w:t>
            </w:r>
          </w:p>
        </w:tc>
        <w:tc>
          <w:tcPr>
            <w:tcW w:w="5560" w:type="dxa"/>
            <w:shd w:val="clear" w:color="FFFFFF" w:fill="FFFFFF"/>
            <w:tcMar>
              <w:top w:w="60" w:type="dxa"/>
              <w:left w:w="120" w:type="dxa"/>
              <w:bottom w:w="60" w:type="dxa"/>
              <w:right w:w="120" w:type="dxa"/>
            </w:tcMar>
          </w:tcPr>
          <w:p w14:paraId="357DA300"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Replace the connection the workplace gave you for free</w:t>
            </w:r>
          </w:p>
        </w:tc>
      </w:tr>
      <w:tr w:rsidR="00CA6EA6" w:rsidRPr="003D12A9" w14:paraId="57EC8284" w14:textId="77777777" w:rsidTr="003D12A9">
        <w:tc>
          <w:tcPr>
            <w:tcW w:w="720" w:type="dxa"/>
            <w:shd w:val="clear" w:color="D6E4F7" w:fill="D6E4F7"/>
            <w:tcMar>
              <w:top w:w="60" w:type="dxa"/>
              <w:left w:w="120" w:type="dxa"/>
              <w:bottom w:w="60" w:type="dxa"/>
              <w:right w:w="120" w:type="dxa"/>
            </w:tcMar>
          </w:tcPr>
          <w:p w14:paraId="338E6AD9" w14:textId="77777777" w:rsidR="00CA6EA6" w:rsidRPr="003D12A9" w:rsidRDefault="00CA6EA6" w:rsidP="003D12A9">
            <w:pPr>
              <w:spacing w:before="60" w:after="60" w:line="270" w:lineRule="atLeast"/>
              <w:rPr>
                <w:rFonts w:eastAsiaTheme="majorEastAsia"/>
                <w:b/>
                <w:color w:val="003594"/>
                <w:sz w:val="19"/>
                <w:szCs w:val="32"/>
              </w:rPr>
            </w:pPr>
            <w:r w:rsidRPr="003D12A9">
              <w:rPr>
                <w:rFonts w:eastAsiaTheme="majorEastAsia"/>
                <w:b/>
                <w:color w:val="003594"/>
                <w:sz w:val="19"/>
                <w:szCs w:val="32"/>
              </w:rPr>
              <w:t>5</w:t>
            </w:r>
          </w:p>
        </w:tc>
        <w:tc>
          <w:tcPr>
            <w:tcW w:w="3800" w:type="dxa"/>
            <w:shd w:val="clear" w:color="FFFFFF" w:fill="FFFFFF"/>
            <w:tcMar>
              <w:top w:w="60" w:type="dxa"/>
              <w:left w:w="120" w:type="dxa"/>
              <w:bottom w:w="60" w:type="dxa"/>
              <w:right w:w="120" w:type="dxa"/>
            </w:tcMar>
          </w:tcPr>
          <w:p w14:paraId="79A5E71D"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Find your next source of purpose</w:t>
            </w:r>
          </w:p>
        </w:tc>
        <w:tc>
          <w:tcPr>
            <w:tcW w:w="5560" w:type="dxa"/>
            <w:shd w:val="clear" w:color="FFFFFF" w:fill="FFFFFF"/>
            <w:tcMar>
              <w:top w:w="60" w:type="dxa"/>
              <w:left w:w="120" w:type="dxa"/>
              <w:bottom w:w="60" w:type="dxa"/>
              <w:right w:w="120" w:type="dxa"/>
            </w:tcMar>
          </w:tcPr>
          <w:p w14:paraId="6CA02D08" w14:textId="77777777" w:rsidR="00CA6EA6" w:rsidRPr="003D12A9" w:rsidRDefault="00CA6EA6" w:rsidP="003D12A9">
            <w:pPr>
              <w:spacing w:before="60" w:after="60" w:line="270" w:lineRule="atLeast"/>
              <w:rPr>
                <w:rFonts w:eastAsiaTheme="majorEastAsia"/>
                <w:sz w:val="19"/>
                <w:szCs w:val="32"/>
              </w:rPr>
            </w:pPr>
            <w:r w:rsidRPr="003D12A9">
              <w:rPr>
                <w:rFonts w:eastAsiaTheme="majorEastAsia"/>
                <w:sz w:val="19"/>
                <w:szCs w:val="32"/>
              </w:rPr>
              <w:t>Start before the day you stop working, not after</w:t>
            </w:r>
          </w:p>
        </w:tc>
      </w:tr>
    </w:tbl>
    <w:p w14:paraId="2757F079" w14:textId="4E2521EB" w:rsidR="00CA6EA6" w:rsidRPr="003D12A9" w:rsidRDefault="00CA6EA6" w:rsidP="003D12A9">
      <w:pPr>
        <w:spacing w:before="120" w:after="120" w:line="270" w:lineRule="atLeast"/>
      </w:pPr>
      <w:r>
        <w:t>The takeaway: the same rules that slow biological aging in the lab work at home, too.</w:t>
      </w:r>
    </w:p>
    <w:p w14:paraId="73B128B9" w14:textId="51B0E818" w:rsidR="00CA6EA6" w:rsidRPr="003D12A9" w:rsidRDefault="00CA6EA6" w:rsidP="2673269B">
      <w:pPr>
        <w:pStyle w:val="Heading1"/>
        <w:pBdr>
          <w:bottom w:val="single" w:sz="4" w:space="0" w:color="FFB81C"/>
        </w:pBdr>
        <w:spacing w:after="120" w:line="270" w:lineRule="atLeast"/>
      </w:pPr>
      <w:r>
        <w:t>Part 2: Aging Well Through People and Purpose</w:t>
      </w:r>
    </w:p>
    <w:p w14:paraId="6E742815" w14:textId="1B26FAC5" w:rsidR="00CA6EA6" w:rsidRPr="003D12A9" w:rsidRDefault="00CA6EA6" w:rsidP="003D12A9">
      <w:pPr>
        <w:spacing w:before="60" w:after="60" w:line="270" w:lineRule="atLeast"/>
      </w:pPr>
      <w:r>
        <w:t>Presented by Lena K. Makaroun, MD, MS</w:t>
      </w:r>
    </w:p>
    <w:p w14:paraId="7932969A" w14:textId="75805FBE" w:rsidR="00CA6EA6" w:rsidRPr="003D12A9" w:rsidRDefault="00CA6EA6" w:rsidP="003D12A9">
      <w:pPr>
        <w:spacing w:before="60" w:after="60" w:line="270" w:lineRule="atLeast"/>
      </w:pPr>
      <w:r>
        <w:t>Dr. Makaroun framed retirement around three questions: Who am I now? Who am I with? How do I continue to grow?</w:t>
      </w:r>
    </w:p>
    <w:p w14:paraId="24C87E38" w14:textId="38FDFA04" w:rsidR="00CA6EA6" w:rsidRPr="003D12A9" w:rsidRDefault="00CA6EA6" w:rsidP="003D12A9">
      <w:pPr>
        <w:pStyle w:val="Heading2"/>
        <w:spacing w:before="280" w:line="270" w:lineRule="atLeast"/>
      </w:pPr>
      <w:r>
        <w:lastRenderedPageBreak/>
        <w:t>Who Am I Now?</w:t>
      </w:r>
    </w:p>
    <w:p w14:paraId="3A9EEFF4" w14:textId="1683C3B0" w:rsidR="00CA6EA6" w:rsidRPr="003D12A9" w:rsidRDefault="00CA6EA6" w:rsidP="003D12A9">
      <w:pPr>
        <w:spacing w:before="60" w:after="60" w:line="270" w:lineRule="atLeast"/>
      </w:pPr>
      <w:r>
        <w:t>Retirement isn't only a financial transition. It's also an identity transition. Work gives us more than a paycheck, which is why people who are financially ready can still feel unsettled:</w:t>
      </w:r>
    </w:p>
    <w:p w14:paraId="7E6833A9" w14:textId="5FA70A4A" w:rsidR="00CA6EA6" w:rsidRPr="003D12A9" w:rsidRDefault="00CA6EA6" w:rsidP="003D12A9">
      <w:pPr>
        <w:pStyle w:val="ListBullet"/>
        <w:spacing w:before="40" w:after="40" w:line="270" w:lineRule="atLeast"/>
      </w:pPr>
      <w:r>
        <w:t>Structure – daily routines</w:t>
      </w:r>
    </w:p>
    <w:p w14:paraId="7E92DA4B" w14:textId="315D8B10" w:rsidR="00CA6EA6" w:rsidRPr="003D12A9" w:rsidRDefault="00CA6EA6" w:rsidP="003D12A9">
      <w:pPr>
        <w:pStyle w:val="ListBullet"/>
        <w:spacing w:before="40" w:after="40" w:line="270" w:lineRule="atLeast"/>
      </w:pPr>
      <w:r>
        <w:t>Purpose – a sense of contribution</w:t>
      </w:r>
    </w:p>
    <w:p w14:paraId="62CD71D8" w14:textId="2EE972A8" w:rsidR="00CA6EA6" w:rsidRPr="003D12A9" w:rsidRDefault="00CA6EA6" w:rsidP="003D12A9">
      <w:pPr>
        <w:pStyle w:val="ListBullet"/>
        <w:spacing w:before="40" w:after="40" w:line="270" w:lineRule="atLeast"/>
      </w:pPr>
      <w:r>
        <w:t>Competence – chances to master challenges</w:t>
      </w:r>
    </w:p>
    <w:p w14:paraId="7E955C62" w14:textId="757F7A0D" w:rsidR="00CA6EA6" w:rsidRPr="003D12A9" w:rsidRDefault="00CA6EA6" w:rsidP="003D12A9">
      <w:pPr>
        <w:pStyle w:val="ListBullet"/>
        <w:spacing w:before="40" w:after="40" w:line="270" w:lineRule="atLeast"/>
      </w:pPr>
      <w:r>
        <w:t>Status – professional identity</w:t>
      </w:r>
    </w:p>
    <w:p w14:paraId="4306118A" w14:textId="7A9F4281" w:rsidR="00CA6EA6" w:rsidRPr="003D12A9" w:rsidRDefault="00CA6EA6" w:rsidP="003D12A9">
      <w:pPr>
        <w:pStyle w:val="ListBullet"/>
        <w:spacing w:before="40" w:after="40" w:line="270" w:lineRule="atLeast"/>
      </w:pPr>
      <w:r>
        <w:t>Community – everyday social contact</w:t>
      </w:r>
    </w:p>
    <w:p w14:paraId="5ADBB160" w14:textId="7D19DEDB" w:rsidR="00CA6EA6" w:rsidRPr="003D12A9" w:rsidRDefault="00CA6EA6" w:rsidP="003D12A9">
      <w:pPr>
        <w:pStyle w:val="ListBullet"/>
        <w:spacing w:before="40" w:after="40" w:line="270" w:lineRule="atLeast"/>
      </w:pPr>
      <w:r>
        <w:t>Meaning – feeling needed</w:t>
      </w:r>
    </w:p>
    <w:p w14:paraId="39308C56" w14:textId="43CE22B6" w:rsidR="00CA6EA6" w:rsidRPr="003D12A9" w:rsidRDefault="00CA6EA6" w:rsidP="003D12A9">
      <w:pPr>
        <w:spacing w:before="60" w:after="60" w:line="270" w:lineRule="atLeast"/>
      </w:pPr>
      <w:r w:rsidRPr="2673269B">
        <w:rPr>
          <w:b/>
          <w:bCs/>
        </w:rPr>
        <w:t xml:space="preserve">Adjustment is a process, not an event. </w:t>
      </w:r>
      <w:r>
        <w:t>Many people go through phases: anticipation, honeymoon, disenchantment, reorientation, and stability. Not everyone experiences every phase.</w:t>
      </w:r>
    </w:p>
    <w:p w14:paraId="16849EA1" w14:textId="54BBF90F" w:rsidR="00CA6EA6" w:rsidRPr="003D12A9" w:rsidRDefault="00CA6EA6" w:rsidP="003D12A9">
      <w:pPr>
        <w:spacing w:before="60" w:after="60" w:line="270" w:lineRule="atLeast"/>
      </w:pPr>
      <w:r w:rsidRPr="2673269B">
        <w:rPr>
          <w:b/>
          <w:bCs/>
        </w:rPr>
        <w:t xml:space="preserve">Keep your identity going. </w:t>
      </w:r>
      <w:r>
        <w:t>Retirement goes best when you carry forward what matters to you. Instead of "I was a professor," think "I'm still someone who teaches." Rather than reinventing yourself, redirect your lasting strengths.</w:t>
      </w:r>
    </w:p>
    <w:p w14:paraId="78C642BA" w14:textId="6E62132C" w:rsidR="00CA6EA6" w:rsidRPr="003D12A9" w:rsidRDefault="00CA6EA6" w:rsidP="003D12A9">
      <w:pPr>
        <w:spacing w:before="60" w:after="60" w:line="270" w:lineRule="atLeast"/>
      </w:pPr>
      <w:r w:rsidRPr="2673269B">
        <w:rPr>
          <w:b/>
          <w:bCs/>
        </w:rPr>
        <w:t xml:space="preserve">Purpose is portable. </w:t>
      </w:r>
      <w:r>
        <w:t>A sense of purpose predicts greater life satisfaction, lower depression, better cognition and physical function, and lower mortality. It can come from volunteering, faith communities, caregiving, grandparenting, mentoring, community leadership, creative work, and learning.</w:t>
      </w:r>
    </w:p>
    <w:p w14:paraId="68FADB45" w14:textId="726E29A0" w:rsidR="00CA6EA6" w:rsidRPr="003D12A9" w:rsidRDefault="00CA6EA6" w:rsidP="003D12A9">
      <w:pPr>
        <w:spacing w:before="60" w:after="60" w:line="270" w:lineRule="atLeast"/>
      </w:pPr>
      <w:r w:rsidRPr="2673269B">
        <w:rPr>
          <w:b/>
          <w:bCs/>
        </w:rPr>
        <w:t xml:space="preserve">Freedom to become more yourself. </w:t>
      </w:r>
      <w:r>
        <w:t>With age, people often care less about impressing others and more about meaning, emotional balance, and the relationships that matter most.</w:t>
      </w:r>
    </w:p>
    <w:p w14:paraId="7ABAD016" w14:textId="5A5FD60F" w:rsidR="00CA6EA6" w:rsidRPr="003D12A9" w:rsidRDefault="00CA6EA6" w:rsidP="003D12A9">
      <w:pPr>
        <w:pStyle w:val="Heading2"/>
        <w:spacing w:before="280" w:line="270" w:lineRule="atLeast"/>
      </w:pPr>
      <w:r>
        <w:t>Who Am I With?</w:t>
      </w:r>
    </w:p>
    <w:p w14:paraId="6BCDDD04" w14:textId="181BF56E" w:rsidR="00CA6EA6" w:rsidRPr="003D12A9" w:rsidRDefault="00CA6EA6" w:rsidP="003D12A9">
      <w:pPr>
        <w:spacing w:before="60" w:after="60" w:line="270" w:lineRule="atLeast"/>
      </w:pPr>
      <w:r>
        <w:t>The strongest predictors of successful aging are relational as well as biological. Close relationships buffer stress, support physical and emotional health, and make us feel needed.</w:t>
      </w:r>
    </w:p>
    <w:p w14:paraId="53A4DA90" w14:textId="46222B29" w:rsidR="00CA6EA6" w:rsidRPr="003D12A9" w:rsidRDefault="00CA6EA6" w:rsidP="003D12A9">
      <w:pPr>
        <w:spacing w:before="60" w:after="60" w:line="270" w:lineRule="atLeast"/>
      </w:pPr>
      <w:r w:rsidRPr="2673269B">
        <w:rPr>
          <w:b/>
          <w:bCs/>
        </w:rPr>
        <w:t xml:space="preserve">Lessons from the Blue Zones. </w:t>
      </w:r>
      <w:r>
        <w:t>Some of the world's longest-lived communities share strong family ties, frequent contact with neighbors, multi-generational living, community involvement, and a sense of belonging.</w:t>
      </w:r>
    </w:p>
    <w:p w14:paraId="7661A6BE" w14:textId="773D573C" w:rsidR="00CA6EA6" w:rsidRPr="003D12A9" w:rsidRDefault="00CA6EA6" w:rsidP="003D12A9">
      <w:pPr>
        <w:spacing w:before="60" w:after="60" w:line="270" w:lineRule="atLeast"/>
      </w:pPr>
      <w:r w:rsidRPr="2673269B">
        <w:rPr>
          <w:b/>
          <w:bCs/>
        </w:rPr>
        <w:t xml:space="preserve">Quality matters more than quantity. </w:t>
      </w:r>
      <w:r>
        <w:t>Emotional closeness, trust, reliability, and feeling understood matter more than the size of your network.</w:t>
      </w:r>
    </w:p>
    <w:p w14:paraId="1B46BE76" w14:textId="4699F7F4" w:rsidR="00CA6EA6" w:rsidRPr="003D12A9" w:rsidRDefault="00CA6EA6" w:rsidP="003D12A9">
      <w:pPr>
        <w:spacing w:before="60" w:after="60" w:line="270" w:lineRule="atLeast"/>
      </w:pPr>
      <w:r w:rsidRPr="2673269B">
        <w:rPr>
          <w:b/>
          <w:bCs/>
        </w:rPr>
        <w:t xml:space="preserve">Retirement changes your social world. </w:t>
      </w:r>
      <w:r>
        <w:t>Leaving work can mean losing daily conversations, shared routines, spontaneous interactions, and professional community. Work creates friendships by default; retirement requires building them on purpose.</w:t>
      </w:r>
    </w:p>
    <w:p w14:paraId="04057D07" w14:textId="3D5F3099" w:rsidR="00CA6EA6" w:rsidRPr="003D12A9" w:rsidRDefault="00CA6EA6" w:rsidP="003D12A9">
      <w:pPr>
        <w:spacing w:before="60" w:after="60" w:line="270" w:lineRule="atLeast"/>
      </w:pPr>
      <w:r w:rsidRPr="2673269B">
        <w:rPr>
          <w:b/>
          <w:bCs/>
        </w:rPr>
        <w:t xml:space="preserve">Loneliness and isolation are different. </w:t>
      </w:r>
      <w:r>
        <w:t>Isolation is objective (how many meaningful connections you have). Loneliness is subjective (whether you feel connected). Both are linked to heart disease, depression, cognitive decline, dementia, and early death.</w:t>
      </w:r>
    </w:p>
    <w:p w14:paraId="619A25F2" w14:textId="70FC74CB" w:rsidR="00CA6EA6" w:rsidRPr="003D12A9" w:rsidRDefault="00CA6EA6" w:rsidP="003D12A9">
      <w:pPr>
        <w:spacing w:before="60" w:after="60" w:line="270" w:lineRule="atLeast"/>
      </w:pPr>
      <w:r w:rsidRPr="2673269B">
        <w:rPr>
          <w:b/>
          <w:bCs/>
        </w:rPr>
        <w:t xml:space="preserve">Treat relationships as a health habit. </w:t>
      </w:r>
      <w:r>
        <w:t>We schedule exercise, sleep, nutrition, and preventive care. Connection belongs on that list too.</w:t>
      </w:r>
    </w:p>
    <w:p w14:paraId="71AE9BCA" w14:textId="492C5EE3" w:rsidR="00CA6EA6" w:rsidRPr="003D12A9" w:rsidRDefault="00CA6EA6" w:rsidP="003D12A9">
      <w:pPr>
        <w:pStyle w:val="Heading2"/>
        <w:spacing w:before="280" w:line="270" w:lineRule="atLeast"/>
      </w:pPr>
      <w:r>
        <w:t>How Do I Continue to Grow?</w:t>
      </w:r>
    </w:p>
    <w:p w14:paraId="529B7D48" w14:textId="45FCBCAA" w:rsidR="00CA6EA6" w:rsidRPr="003D12A9" w:rsidRDefault="00CA6EA6" w:rsidP="003D12A9">
      <w:pPr>
        <w:spacing w:before="60" w:after="60" w:line="270" w:lineRule="atLeast"/>
      </w:pPr>
      <w:r w:rsidRPr="2673269B">
        <w:rPr>
          <w:b/>
          <w:bCs/>
        </w:rPr>
        <w:t xml:space="preserve">Aging is development, not </w:t>
      </w:r>
      <w:proofErr w:type="gramStart"/>
      <w:r w:rsidRPr="2673269B">
        <w:rPr>
          <w:b/>
          <w:bCs/>
        </w:rPr>
        <w:t>decline</w:t>
      </w:r>
      <w:proofErr w:type="gramEnd"/>
      <w:r w:rsidRPr="2673269B">
        <w:rPr>
          <w:b/>
          <w:bCs/>
        </w:rPr>
        <w:t xml:space="preserve">. </w:t>
      </w:r>
      <w:r>
        <w:t xml:space="preserve">Processing speed and some physical abilities may slow, but emotional regulation, perspective, wisdom, empathy, and </w:t>
      </w:r>
      <w:proofErr w:type="gramStart"/>
      <w:r>
        <w:t>meaning-making</w:t>
      </w:r>
      <w:proofErr w:type="gramEnd"/>
      <w:r>
        <w:t xml:space="preserve"> keep growing.</w:t>
      </w:r>
    </w:p>
    <w:p w14:paraId="32221863" w14:textId="0F12BC79" w:rsidR="00CA6EA6" w:rsidRPr="003D12A9" w:rsidRDefault="00CA6EA6" w:rsidP="003D12A9">
      <w:pPr>
        <w:spacing w:before="60" w:after="60" w:line="270" w:lineRule="atLeast"/>
      </w:pPr>
      <w:r w:rsidRPr="2673269B">
        <w:rPr>
          <w:b/>
          <w:bCs/>
        </w:rPr>
        <w:t xml:space="preserve">Watch out for ageism, including your own. </w:t>
      </w:r>
      <w:r>
        <w:t>Ageism is stereotyping, prejudice, or discrimination based on age. Negative beliefs about aging that we hold ourselves are linked to earlier death, poorer mental health, cognitive impairment, and heart problems. These beliefs can shape our health more than our health shapes them.</w:t>
      </w:r>
    </w:p>
    <w:p w14:paraId="610E50A6" w14:textId="7DED5750" w:rsidR="00CA6EA6" w:rsidRPr="003D12A9" w:rsidRDefault="00CA6EA6" w:rsidP="003D12A9">
      <w:pPr>
        <w:spacing w:before="60" w:after="60" w:line="270" w:lineRule="atLeast"/>
      </w:pPr>
      <w:r w:rsidRPr="2673269B">
        <w:rPr>
          <w:b/>
          <w:bCs/>
        </w:rPr>
        <w:t xml:space="preserve">Keep learning. </w:t>
      </w:r>
      <w:r>
        <w:t>The brain can learn throughout life. Take a class, learn an instrument or language, explore new technology, or join a discussion group.</w:t>
      </w:r>
    </w:p>
    <w:p w14:paraId="7D38E377" w14:textId="6AC0E427" w:rsidR="00CA6EA6" w:rsidRPr="003D12A9" w:rsidRDefault="00CA6EA6" w:rsidP="003D12A9">
      <w:pPr>
        <w:spacing w:before="60" w:after="60" w:line="270" w:lineRule="atLeast"/>
      </w:pPr>
      <w:r w:rsidRPr="2673269B">
        <w:rPr>
          <w:b/>
          <w:bCs/>
        </w:rPr>
        <w:t xml:space="preserve">Contribute. </w:t>
      </w:r>
      <w:r>
        <w:t>One of the best ways to thrive is to matter to someone else, whether by mentoring, volunteering, caring for grandchildren, serving on a nonprofit board, or sharing your professional expertise.</w:t>
      </w:r>
    </w:p>
    <w:p w14:paraId="0A7B5368" w14:textId="14D2C98A" w:rsidR="00CA6EA6" w:rsidRPr="003D12A9" w:rsidRDefault="00CA6EA6" w:rsidP="003D12A9">
      <w:pPr>
        <w:spacing w:before="60" w:after="60" w:line="270" w:lineRule="atLeast"/>
      </w:pPr>
      <w:r w:rsidRPr="2673269B">
        <w:rPr>
          <w:b/>
          <w:bCs/>
        </w:rPr>
        <w:lastRenderedPageBreak/>
        <w:t xml:space="preserve">Choose your structure. </w:t>
      </w:r>
      <w:r>
        <w:t>Retirement lets you decide how you spend your time, who you spend it with, what gives you meaning, and what legacy you leave. The happiest retirees replace imposed structure with structure they choose.</w:t>
      </w:r>
    </w:p>
    <w:p w14:paraId="383B63F8" w14:textId="05D57ED7" w:rsidR="00CA6EA6" w:rsidRPr="003D12A9" w:rsidRDefault="00CA6EA6" w:rsidP="003D12A9">
      <w:pPr>
        <w:spacing w:before="60" w:after="60" w:line="270" w:lineRule="atLeast"/>
      </w:pPr>
      <w:r w:rsidRPr="2673269B">
        <w:rPr>
          <w:b/>
          <w:bCs/>
        </w:rPr>
        <w:t xml:space="preserve">Stay flexible. </w:t>
      </w:r>
      <w:r>
        <w:t>Accepting change, letting go of what no longer fits, and staying open to new experiences are linked to greater resilience and better mental health.</w:t>
      </w:r>
    </w:p>
    <w:p w14:paraId="5976FADB" w14:textId="3BFE01F7" w:rsidR="00CA6EA6" w:rsidRPr="003D12A9" w:rsidRDefault="00CA6EA6" w:rsidP="2673269B">
      <w:pPr>
        <w:pStyle w:val="Heading1"/>
        <w:pBdr>
          <w:bottom w:val="single" w:sz="4" w:space="0" w:color="FFB81C"/>
        </w:pBdr>
        <w:spacing w:after="120" w:line="270" w:lineRule="atLeast"/>
      </w:pPr>
      <w:r>
        <w:t>Reflection Questions</w:t>
      </w:r>
    </w:p>
    <w:p w14:paraId="448294A0" w14:textId="5AFA609F" w:rsidR="00CA6EA6" w:rsidRPr="003D12A9" w:rsidRDefault="00CA6EA6" w:rsidP="003D12A9">
      <w:pPr>
        <w:spacing w:before="60" w:after="60" w:line="270" w:lineRule="atLeast"/>
      </w:pPr>
      <w:r>
        <w:t>Use these questions from the session to guide your own planning:</w:t>
      </w:r>
    </w:p>
    <w:p w14:paraId="608C9BA2" w14:textId="1B548D77" w:rsidR="00CA6EA6" w:rsidRPr="003D12A9" w:rsidRDefault="00CA6EA6" w:rsidP="003D12A9">
      <w:pPr>
        <w:pStyle w:val="Heading3"/>
        <w:spacing w:before="200" w:after="60" w:line="270" w:lineRule="atLeast"/>
      </w:pPr>
      <w:r>
        <w:t>Who Am I Now?</w:t>
      </w:r>
    </w:p>
    <w:p w14:paraId="0D3B8A12" w14:textId="0FE58250" w:rsidR="00CA6EA6" w:rsidRPr="003D12A9" w:rsidRDefault="00CA6EA6" w:rsidP="003D12A9">
      <w:pPr>
        <w:pStyle w:val="ListBullet"/>
        <w:spacing w:before="40" w:after="40" w:line="270" w:lineRule="atLeast"/>
      </w:pPr>
      <w:r>
        <w:t>Which parts of your identity come from your job?</w:t>
      </w:r>
    </w:p>
    <w:p w14:paraId="402C7D73" w14:textId="39A82CD8" w:rsidR="00CA6EA6" w:rsidRPr="003D12A9" w:rsidRDefault="00CA6EA6" w:rsidP="003D12A9">
      <w:pPr>
        <w:pStyle w:val="ListBullet"/>
        <w:spacing w:before="40" w:after="40" w:line="270" w:lineRule="atLeast"/>
      </w:pPr>
      <w:r>
        <w:t>Which parts existed long before your career?</w:t>
      </w:r>
    </w:p>
    <w:p w14:paraId="05D5855D" w14:textId="0F2BBE91" w:rsidR="00CA6EA6" w:rsidRPr="003D12A9" w:rsidRDefault="00CA6EA6" w:rsidP="003D12A9">
      <w:pPr>
        <w:pStyle w:val="ListBullet"/>
        <w:spacing w:before="40" w:after="40" w:line="270" w:lineRule="atLeast"/>
      </w:pPr>
      <w:r>
        <w:t>Which strengths and values do you want to carry into retirement?</w:t>
      </w:r>
    </w:p>
    <w:p w14:paraId="6B69F96E" w14:textId="6BC9924B" w:rsidR="00CA6EA6" w:rsidRPr="003D12A9" w:rsidRDefault="00CA6EA6" w:rsidP="003D12A9">
      <w:pPr>
        <w:pStyle w:val="Heading3"/>
        <w:spacing w:before="200" w:after="60" w:line="270" w:lineRule="atLeast"/>
      </w:pPr>
      <w:r>
        <w:t>Who Am I With?</w:t>
      </w:r>
    </w:p>
    <w:p w14:paraId="5B92D716" w14:textId="24D71213" w:rsidR="00CA6EA6" w:rsidRPr="003D12A9" w:rsidRDefault="00CA6EA6" w:rsidP="003D12A9">
      <w:pPr>
        <w:pStyle w:val="ListBullet"/>
        <w:spacing w:before="40" w:after="40" w:line="270" w:lineRule="atLeast"/>
      </w:pPr>
      <w:r>
        <w:t>Who energizes you?</w:t>
      </w:r>
    </w:p>
    <w:p w14:paraId="2B525703" w14:textId="520890ED" w:rsidR="00CA6EA6" w:rsidRPr="003D12A9" w:rsidRDefault="00CA6EA6" w:rsidP="003D12A9">
      <w:pPr>
        <w:pStyle w:val="ListBullet"/>
        <w:spacing w:before="40" w:after="40" w:line="270" w:lineRule="atLeast"/>
      </w:pPr>
      <w:r>
        <w:t>Who depends on you?</w:t>
      </w:r>
    </w:p>
    <w:p w14:paraId="10E0D6C6" w14:textId="3FD42169" w:rsidR="00CA6EA6" w:rsidRPr="003D12A9" w:rsidRDefault="00CA6EA6" w:rsidP="003D12A9">
      <w:pPr>
        <w:pStyle w:val="ListBullet"/>
        <w:spacing w:before="40" w:after="40" w:line="270" w:lineRule="atLeast"/>
      </w:pPr>
      <w:r>
        <w:t>Whose life is better because you're in it?</w:t>
      </w:r>
    </w:p>
    <w:p w14:paraId="1C9C24C0" w14:textId="77537C7C" w:rsidR="00CA6EA6" w:rsidRPr="003D12A9" w:rsidRDefault="00CA6EA6" w:rsidP="003D12A9">
      <w:pPr>
        <w:pStyle w:val="ListBullet"/>
        <w:spacing w:before="40" w:after="40" w:line="270" w:lineRule="atLeast"/>
      </w:pPr>
      <w:r>
        <w:t>How will you invest in the relationships that matter most?</w:t>
      </w:r>
    </w:p>
    <w:p w14:paraId="2D3AA3C8" w14:textId="64214590" w:rsidR="00CA6EA6" w:rsidRPr="003D12A9" w:rsidRDefault="00CA6EA6" w:rsidP="003D12A9">
      <w:pPr>
        <w:pStyle w:val="Heading3"/>
        <w:spacing w:before="200" w:after="60" w:line="270" w:lineRule="atLeast"/>
      </w:pPr>
      <w:r>
        <w:t>How Do I Continue to Grow?</w:t>
      </w:r>
    </w:p>
    <w:p w14:paraId="3DA9F4D1" w14:textId="2E64C010" w:rsidR="00CA6EA6" w:rsidRPr="003D12A9" w:rsidRDefault="00CA6EA6" w:rsidP="003D12A9">
      <w:pPr>
        <w:pStyle w:val="ListBullet"/>
        <w:spacing w:before="40" w:after="40" w:line="270" w:lineRule="atLeast"/>
      </w:pPr>
      <w:r>
        <w:t xml:space="preserve">What </w:t>
      </w:r>
      <w:proofErr w:type="gramStart"/>
      <w:r>
        <w:t>will give</w:t>
      </w:r>
      <w:proofErr w:type="gramEnd"/>
      <w:r>
        <w:t xml:space="preserve"> your life </w:t>
      </w:r>
      <w:proofErr w:type="gramStart"/>
      <w:r>
        <w:t>purpose</w:t>
      </w:r>
      <w:proofErr w:type="gramEnd"/>
      <w:r>
        <w:t xml:space="preserve"> in this next season?</w:t>
      </w:r>
    </w:p>
    <w:p w14:paraId="3C21C281" w14:textId="2252540B" w:rsidR="00CA6EA6" w:rsidRPr="003D12A9" w:rsidRDefault="00CA6EA6" w:rsidP="2673269B">
      <w:pPr>
        <w:pStyle w:val="Heading1"/>
        <w:pBdr>
          <w:bottom w:val="single" w:sz="4" w:space="0" w:color="FFB81C"/>
        </w:pBdr>
        <w:spacing w:after="120" w:line="270" w:lineRule="atLeast"/>
      </w:pPr>
      <w:r>
        <w:t>Questions and Support</w:t>
      </w:r>
    </w:p>
    <w:p w14:paraId="762F9AC3" w14:textId="709E4997" w:rsidR="00CA6EA6" w:rsidRPr="003D12A9" w:rsidRDefault="00CA6EA6" w:rsidP="003D12A9">
      <w:pPr>
        <w:spacing w:before="60" w:after="60" w:line="270" w:lineRule="atLeast"/>
      </w:pPr>
      <w:r>
        <w:t xml:space="preserve">For Benefits Customer Support after the presentation, submit a question or comment, or call 833-852-2210 (Monday–Friday, 8:30 a.m. to 5:00 p.m.). More details about </w:t>
      </w:r>
      <w:proofErr w:type="gramStart"/>
      <w:r>
        <w:t>University</w:t>
      </w:r>
      <w:proofErr w:type="gramEnd"/>
      <w:r>
        <w:t xml:space="preserve"> benefits are available at hr.pitt.edu/benefits.</w:t>
      </w:r>
    </w:p>
    <w:p w14:paraId="1B512B1F" w14:textId="4BCA0589" w:rsidR="00CA6EA6" w:rsidRPr="003D12A9" w:rsidRDefault="00CA6EA6" w:rsidP="003D12A9">
      <w:pPr>
        <w:pStyle w:val="Heading2"/>
        <w:spacing w:before="280" w:line="270" w:lineRule="atLeast"/>
      </w:pPr>
      <w:r>
        <w:t>Disclosure</w:t>
      </w:r>
    </w:p>
    <w:p w14:paraId="0CF9CA60" w14:textId="36F736B0" w:rsidR="00AD01C2" w:rsidRPr="003D12A9" w:rsidRDefault="00CA6EA6" w:rsidP="2673269B">
      <w:pPr>
        <w:spacing w:before="60" w:after="60" w:line="250" w:lineRule="auto"/>
        <w:rPr>
          <w:color w:val="555555"/>
          <w:sz w:val="18"/>
          <w:szCs w:val="18"/>
        </w:rPr>
      </w:pPr>
      <w:r>
        <w:t>This guide is for general educational and informational purposes only. It does not replace or override official plan documents, University policies, established procedures, or contracts with insurance carriers, which govern in all cases. Benefits may be modified as required by law or as the University deems appropriate. Employees in a collective bargaining unit should refer to their collective bargaining agreement for specific guidance about their benefits.</w:t>
      </w:r>
    </w:p>
    <w:sectPr w:rsidR="00AD01C2" w:rsidRPr="003D12A9" w:rsidSect="003D12A9">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B550D" w14:textId="77777777" w:rsidR="0034716B" w:rsidRDefault="0034716B" w:rsidP="003D12A9">
      <w:pPr>
        <w:spacing w:after="0" w:line="240" w:lineRule="auto"/>
      </w:pPr>
      <w:r>
        <w:separator/>
      </w:r>
    </w:p>
  </w:endnote>
  <w:endnote w:type="continuationSeparator" w:id="0">
    <w:p w14:paraId="2D433CCE" w14:textId="77777777" w:rsidR="0034716B" w:rsidRDefault="0034716B" w:rsidP="003D1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8B78" w14:textId="77777777" w:rsidR="003D12A9" w:rsidRDefault="003D12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9AC4" w14:textId="77777777" w:rsidR="003D12A9" w:rsidRDefault="003D12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B4B3" w14:textId="77777777" w:rsidR="003D12A9" w:rsidRDefault="003D1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44B43" w14:textId="77777777" w:rsidR="0034716B" w:rsidRDefault="0034716B" w:rsidP="003D12A9">
      <w:pPr>
        <w:spacing w:after="0" w:line="240" w:lineRule="auto"/>
      </w:pPr>
      <w:r>
        <w:separator/>
      </w:r>
    </w:p>
  </w:footnote>
  <w:footnote w:type="continuationSeparator" w:id="0">
    <w:p w14:paraId="46949D16" w14:textId="77777777" w:rsidR="0034716B" w:rsidRDefault="0034716B" w:rsidP="003D1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2063" w14:textId="77777777" w:rsidR="003D12A9" w:rsidRDefault="003D12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FECF" w14:textId="77777777" w:rsidR="003D12A9" w:rsidRDefault="003D12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6797" w14:textId="77777777" w:rsidR="003D12A9" w:rsidRDefault="003D1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37633A6"/>
    <w:lvl w:ilvl="0">
      <w:start w:val="1"/>
      <w:numFmt w:val="bullet"/>
      <w:pStyle w:val="ListBullet"/>
      <w:lvlText w:val=""/>
      <w:lvlJc w:val="left"/>
      <w:pPr>
        <w:tabs>
          <w:tab w:val="num" w:pos="360"/>
        </w:tabs>
        <w:ind w:left="360" w:hanging="360"/>
      </w:pPr>
      <w:rPr>
        <w:rFonts w:ascii="Symbol" w:hAnsi="Symbol" w:hint="default"/>
      </w:rPr>
    </w:lvl>
  </w:abstractNum>
  <w:num w:numId="1" w16cid:durableId="1771855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2A9"/>
    <w:rsid w:val="000753A9"/>
    <w:rsid w:val="0034716B"/>
    <w:rsid w:val="003D12A9"/>
    <w:rsid w:val="003D6BFE"/>
    <w:rsid w:val="00424F50"/>
    <w:rsid w:val="00483C4C"/>
    <w:rsid w:val="005E7782"/>
    <w:rsid w:val="006106A8"/>
    <w:rsid w:val="007032D8"/>
    <w:rsid w:val="008E3A05"/>
    <w:rsid w:val="008F3791"/>
    <w:rsid w:val="00967CA7"/>
    <w:rsid w:val="00A60649"/>
    <w:rsid w:val="00AB21B6"/>
    <w:rsid w:val="00AD01C2"/>
    <w:rsid w:val="00BF02A8"/>
    <w:rsid w:val="00CA1043"/>
    <w:rsid w:val="00CA6EA6"/>
    <w:rsid w:val="00FE3C6B"/>
    <w:rsid w:val="125235C9"/>
    <w:rsid w:val="17F01AF4"/>
    <w:rsid w:val="2673269B"/>
    <w:rsid w:val="2EAD9C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469D"/>
  <w15:chartTrackingRefBased/>
  <w15:docId w15:val="{2CA8C0F8-B9A6-47EF-8993-892970AC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color w:val="333333"/>
      <w:sz w:val="20"/>
    </w:rPr>
  </w:style>
  <w:style w:type="paragraph" w:styleId="Heading1">
    <w:name w:val="heading 1"/>
    <w:basedOn w:val="Normal"/>
    <w:next w:val="Normal"/>
    <w:link w:val="Heading1Char"/>
    <w:uiPriority w:val="9"/>
    <w:qFormat/>
    <w:rsid w:val="003D12A9"/>
    <w:pPr>
      <w:keepNext/>
      <w:keepLines/>
      <w:spacing w:before="360" w:after="80"/>
      <w:outlineLvl w:val="0"/>
    </w:pPr>
    <w:rPr>
      <w:rFonts w:eastAsiaTheme="majorEastAsia"/>
      <w:b/>
      <w:color w:val="003594"/>
      <w:sz w:val="28"/>
      <w:szCs w:val="40"/>
    </w:rPr>
  </w:style>
  <w:style w:type="paragraph" w:styleId="Heading2">
    <w:name w:val="heading 2"/>
    <w:basedOn w:val="Normal"/>
    <w:next w:val="Normal"/>
    <w:link w:val="Heading2Char"/>
    <w:uiPriority w:val="9"/>
    <w:unhideWhenUsed/>
    <w:qFormat/>
    <w:rsid w:val="003D12A9"/>
    <w:pPr>
      <w:keepNext/>
      <w:keepLines/>
      <w:spacing w:before="160" w:after="80"/>
      <w:outlineLvl w:val="1"/>
    </w:pPr>
    <w:rPr>
      <w:rFonts w:eastAsiaTheme="majorEastAsia"/>
      <w:b/>
      <w:color w:val="003594"/>
      <w:sz w:val="24"/>
      <w:szCs w:val="32"/>
    </w:rPr>
  </w:style>
  <w:style w:type="paragraph" w:styleId="Heading3">
    <w:name w:val="heading 3"/>
    <w:basedOn w:val="Normal"/>
    <w:next w:val="Normal"/>
    <w:link w:val="Heading3Char"/>
    <w:uiPriority w:val="9"/>
    <w:unhideWhenUsed/>
    <w:qFormat/>
    <w:rsid w:val="2673269B"/>
    <w:pPr>
      <w:keepNext/>
      <w:keepLines/>
      <w:spacing w:before="160" w:after="80"/>
      <w:outlineLvl w:val="2"/>
    </w:pPr>
    <w:rPr>
      <w:rFonts w:eastAsiaTheme="majorEastAsia"/>
      <w:b/>
      <w:bCs/>
      <w:color w:val="444444"/>
      <w:sz w:val="22"/>
      <w:szCs w:val="22"/>
    </w:rPr>
  </w:style>
  <w:style w:type="paragraph" w:styleId="Heading4">
    <w:name w:val="heading 4"/>
    <w:basedOn w:val="Normal"/>
    <w:next w:val="Normal"/>
    <w:link w:val="Heading4Char"/>
    <w:uiPriority w:val="9"/>
    <w:semiHidden/>
    <w:unhideWhenUsed/>
    <w:qFormat/>
    <w:rsid w:val="003D12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2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2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2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2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2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2A9"/>
    <w:rPr>
      <w:rFonts w:ascii="Arial" w:eastAsiaTheme="majorEastAsia" w:hAnsi="Arial" w:cs="Arial"/>
      <w:b/>
      <w:color w:val="003594"/>
      <w:sz w:val="28"/>
      <w:szCs w:val="40"/>
    </w:rPr>
  </w:style>
  <w:style w:type="character" w:customStyle="1" w:styleId="Heading2Char">
    <w:name w:val="Heading 2 Char"/>
    <w:basedOn w:val="DefaultParagraphFont"/>
    <w:link w:val="Heading2"/>
    <w:uiPriority w:val="9"/>
    <w:rsid w:val="003D12A9"/>
    <w:rPr>
      <w:rFonts w:ascii="Arial" w:eastAsiaTheme="majorEastAsia" w:hAnsi="Arial" w:cs="Arial"/>
      <w:b/>
      <w:color w:val="003594"/>
      <w:szCs w:val="32"/>
    </w:rPr>
  </w:style>
  <w:style w:type="character" w:customStyle="1" w:styleId="Heading3Char">
    <w:name w:val="Heading 3 Char"/>
    <w:basedOn w:val="DefaultParagraphFont"/>
    <w:link w:val="Heading3"/>
    <w:uiPriority w:val="9"/>
    <w:rsid w:val="2673269B"/>
    <w:rPr>
      <w:rFonts w:ascii="Arial" w:eastAsiaTheme="majorEastAsia" w:hAnsi="Arial" w:cs="Arial"/>
      <w:b/>
      <w:bCs/>
      <w:color w:val="444444"/>
      <w:sz w:val="22"/>
      <w:szCs w:val="22"/>
    </w:rPr>
  </w:style>
  <w:style w:type="character" w:customStyle="1" w:styleId="Heading4Char">
    <w:name w:val="Heading 4 Char"/>
    <w:basedOn w:val="DefaultParagraphFont"/>
    <w:link w:val="Heading4"/>
    <w:uiPriority w:val="9"/>
    <w:semiHidden/>
    <w:rsid w:val="003D12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2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2A9"/>
    <w:rPr>
      <w:rFonts w:eastAsiaTheme="majorEastAsia" w:cstheme="majorBidi"/>
      <w:color w:val="272727" w:themeColor="text1" w:themeTint="D8"/>
    </w:rPr>
  </w:style>
  <w:style w:type="paragraph" w:styleId="Title">
    <w:name w:val="Title"/>
    <w:basedOn w:val="Normal"/>
    <w:next w:val="Normal"/>
    <w:link w:val="TitleChar"/>
    <w:uiPriority w:val="10"/>
    <w:qFormat/>
    <w:rsid w:val="003D12A9"/>
    <w:pPr>
      <w:spacing w:after="80" w:line="240" w:lineRule="auto"/>
      <w:contextualSpacing/>
    </w:pPr>
    <w:rPr>
      <w:rFonts w:eastAsiaTheme="majorEastAsia"/>
      <w:b/>
      <w:color w:val="003594"/>
      <w:spacing w:val="-10"/>
      <w:kern w:val="28"/>
      <w:sz w:val="36"/>
      <w:szCs w:val="56"/>
    </w:rPr>
  </w:style>
  <w:style w:type="character" w:customStyle="1" w:styleId="TitleChar">
    <w:name w:val="Title Char"/>
    <w:basedOn w:val="DefaultParagraphFont"/>
    <w:link w:val="Title"/>
    <w:uiPriority w:val="10"/>
    <w:rsid w:val="003D12A9"/>
    <w:rPr>
      <w:rFonts w:ascii="Arial" w:eastAsiaTheme="majorEastAsia" w:hAnsi="Arial" w:cs="Arial"/>
      <w:b/>
      <w:color w:val="003594"/>
      <w:spacing w:val="-10"/>
      <w:kern w:val="28"/>
      <w:sz w:val="36"/>
      <w:szCs w:val="56"/>
    </w:rPr>
  </w:style>
  <w:style w:type="paragraph" w:styleId="Subtitle">
    <w:name w:val="Subtitle"/>
    <w:basedOn w:val="Normal"/>
    <w:next w:val="Normal"/>
    <w:link w:val="SubtitleChar"/>
    <w:uiPriority w:val="11"/>
    <w:qFormat/>
    <w:rsid w:val="003D12A9"/>
    <w:pPr>
      <w:numPr>
        <w:ilvl w:val="1"/>
      </w:numPr>
    </w:pPr>
    <w:rPr>
      <w:rFonts w:eastAsiaTheme="majorEastAsia"/>
      <w:color w:val="003594"/>
      <w:spacing w:val="15"/>
      <w:sz w:val="24"/>
      <w:szCs w:val="28"/>
    </w:rPr>
  </w:style>
  <w:style w:type="character" w:customStyle="1" w:styleId="SubtitleChar">
    <w:name w:val="Subtitle Char"/>
    <w:basedOn w:val="DefaultParagraphFont"/>
    <w:link w:val="Subtitle"/>
    <w:uiPriority w:val="11"/>
    <w:rsid w:val="003D12A9"/>
    <w:rPr>
      <w:rFonts w:ascii="Arial" w:eastAsiaTheme="majorEastAsia" w:hAnsi="Arial" w:cs="Arial"/>
      <w:color w:val="003594"/>
      <w:spacing w:val="15"/>
      <w:szCs w:val="28"/>
    </w:rPr>
  </w:style>
  <w:style w:type="paragraph" w:styleId="Quote">
    <w:name w:val="Quote"/>
    <w:basedOn w:val="Normal"/>
    <w:next w:val="Normal"/>
    <w:link w:val="QuoteChar"/>
    <w:uiPriority w:val="29"/>
    <w:qFormat/>
    <w:rsid w:val="003D12A9"/>
    <w:pPr>
      <w:spacing w:before="160"/>
      <w:jc w:val="center"/>
    </w:pPr>
    <w:rPr>
      <w:i/>
      <w:iCs/>
      <w:color w:val="404040" w:themeColor="text1" w:themeTint="BF"/>
    </w:rPr>
  </w:style>
  <w:style w:type="character" w:customStyle="1" w:styleId="QuoteChar">
    <w:name w:val="Quote Char"/>
    <w:basedOn w:val="DefaultParagraphFont"/>
    <w:link w:val="Quote"/>
    <w:uiPriority w:val="29"/>
    <w:rsid w:val="003D12A9"/>
    <w:rPr>
      <w:i/>
      <w:iCs/>
      <w:color w:val="404040" w:themeColor="text1" w:themeTint="BF"/>
    </w:rPr>
  </w:style>
  <w:style w:type="paragraph" w:styleId="ListParagraph">
    <w:name w:val="List Paragraph"/>
    <w:basedOn w:val="Normal"/>
    <w:uiPriority w:val="34"/>
    <w:qFormat/>
    <w:rsid w:val="003D12A9"/>
    <w:pPr>
      <w:ind w:left="720"/>
      <w:contextualSpacing/>
    </w:pPr>
  </w:style>
  <w:style w:type="character" w:styleId="IntenseEmphasis">
    <w:name w:val="Intense Emphasis"/>
    <w:basedOn w:val="DefaultParagraphFont"/>
    <w:uiPriority w:val="21"/>
    <w:qFormat/>
    <w:rsid w:val="003D12A9"/>
    <w:rPr>
      <w:i/>
      <w:iCs/>
      <w:color w:val="0F4761" w:themeColor="accent1" w:themeShade="BF"/>
    </w:rPr>
  </w:style>
  <w:style w:type="paragraph" w:styleId="IntenseQuote">
    <w:name w:val="Intense Quote"/>
    <w:basedOn w:val="Normal"/>
    <w:next w:val="Normal"/>
    <w:link w:val="IntenseQuoteChar"/>
    <w:uiPriority w:val="30"/>
    <w:qFormat/>
    <w:rsid w:val="003D1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2A9"/>
    <w:rPr>
      <w:i/>
      <w:iCs/>
      <w:color w:val="0F4761" w:themeColor="accent1" w:themeShade="BF"/>
    </w:rPr>
  </w:style>
  <w:style w:type="character" w:styleId="IntenseReference">
    <w:name w:val="Intense Reference"/>
    <w:basedOn w:val="DefaultParagraphFont"/>
    <w:uiPriority w:val="32"/>
    <w:qFormat/>
    <w:rsid w:val="003D12A9"/>
    <w:rPr>
      <w:b/>
      <w:bCs/>
      <w:smallCaps/>
      <w:color w:val="0F4761" w:themeColor="accent1" w:themeShade="BF"/>
      <w:spacing w:val="5"/>
    </w:rPr>
  </w:style>
  <w:style w:type="paragraph" w:styleId="Header">
    <w:name w:val="header"/>
    <w:basedOn w:val="Normal"/>
    <w:link w:val="HeaderChar"/>
    <w:uiPriority w:val="99"/>
    <w:unhideWhenUsed/>
    <w:rsid w:val="003D1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2A9"/>
  </w:style>
  <w:style w:type="paragraph" w:styleId="Footer">
    <w:name w:val="footer"/>
    <w:basedOn w:val="Normal"/>
    <w:link w:val="FooterChar"/>
    <w:uiPriority w:val="99"/>
    <w:unhideWhenUsed/>
    <w:rsid w:val="003D1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2A9"/>
  </w:style>
  <w:style w:type="paragraph" w:styleId="ListBullet">
    <w:name w:val="List Bullet"/>
    <w:basedOn w:val="Normal"/>
    <w:uiPriority w:val="99"/>
    <w:unhideWhenUsed/>
    <w:rsid w:val="003D12A9"/>
    <w:pPr>
      <w:numPr>
        <w:numId w:val="1"/>
      </w:numPr>
      <w:contextualSpacing/>
    </w:pPr>
  </w:style>
  <w:style w:type="table" w:styleId="TableGrid">
    <w:name w:val="Table Grid"/>
    <w:basedOn w:val="TableNormal"/>
    <w:uiPriority w:val="39"/>
    <w:rsid w:val="003D1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3D12A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Simple1">
    <w:name w:val="Table Simple 1"/>
    <w:basedOn w:val="TableNormal"/>
    <w:uiPriority w:val="99"/>
    <w:unhideWhenUsed/>
    <w:rsid w:val="003D12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148472F-19C6-46D5-9CC6-97885539E571}">
  <we:reference id="WA200010725" version="1.0.0.1" store="Omex" storeType="OMEX"/>
  <we:alternateReferences>
    <we:reference id="WA200010725" version="1.0.0.1" store="WA200010725" storeType="OMEX"/>
  </we:alternateReferences>
  <we:properties>
    <we:property name="claude.fileId" value="&quot;00535216-f3da-4abf-b475-8e78d4adb329&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2667860d-1293-4bf7-9b1d-93ddad867908">
  <we:reference id="WA200010725" version="1.0.0.1" store="en-us" storeType="omex"/>
  <we:alternateReferences>
    <we:reference id="WA200010725" version="1.0.0.1" store="en-us" storeType="omex"/>
  </we:alternateReferences>
  <we:properties>
    <we:property name="claude.fileId" value="&quot;00535216-f3da-4abf-b475-8e78d4adb32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BBF7D0-28D7-4C9E-BD02-B92547A84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3D021-3EBA-4514-8BF4-EA05D4509057}">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3.xml><?xml version="1.0" encoding="utf-8"?>
<ds:datastoreItem xmlns:ds="http://schemas.openxmlformats.org/officeDocument/2006/customXml" ds:itemID="{7771BF49-802D-43DE-87AC-22957BE2CF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1426</Words>
  <Characters>8134</Characters>
  <Application>Microsoft Office Word</Application>
  <DocSecurity>0</DocSecurity>
  <Lines>67</Lines>
  <Paragraphs>19</Paragraphs>
  <ScaleCrop>false</ScaleCrop>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Session9_Retirement Readiness_Summary</dc:title>
  <dc:subject>Retirement Readiness</dc:subject>
  <dc:creator>University of Pittsburgh Office of Human Resources</dc:creator>
  <cp:keywords/>
  <dc:description/>
  <cp:lastModifiedBy>Zurowski, Laura P</cp:lastModifiedBy>
  <cp:revision>3</cp:revision>
  <cp:lastPrinted>2026-09-30T15:51:00Z</cp:lastPrinted>
  <dcterms:created xsi:type="dcterms:W3CDTF">2026-10-08T20:22:00Z</dcterms:created>
  <dcterms:modified xsi:type="dcterms:W3CDTF">2026-10-08T20:22:00Z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