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E5C1" w14:textId="6F56906C" w:rsidR="4CFD600F" w:rsidRDefault="4CFD600F" w:rsidP="74BA1F49">
      <w:pPr>
        <w:spacing w:line="260" w:lineRule="atLeast"/>
        <w:rPr>
          <w:rFonts w:ascii="Arial" w:eastAsia="Arial" w:hAnsi="Arial" w:cs="Arial"/>
        </w:rPr>
      </w:pPr>
      <w:r w:rsidRPr="00214171">
        <w:rPr>
          <w:rFonts w:ascii="Arial" w:eastAsia="Arial" w:hAnsi="Arial" w:cs="Arial"/>
          <w:color w:val="auto"/>
        </w:rPr>
        <w:t>Retirement Readiness Series</w:t>
      </w:r>
    </w:p>
    <w:p w14:paraId="4F6538A9" w14:textId="261FB835" w:rsidR="74BA1F49" w:rsidRDefault="74BA1F49" w:rsidP="74BA1F49">
      <w:pPr>
        <w:spacing w:line="260" w:lineRule="atLeast"/>
        <w:rPr>
          <w:rFonts w:ascii="Arial" w:eastAsia="Arial" w:hAnsi="Arial" w:cs="Arial"/>
          <w:color w:val="777777"/>
        </w:rPr>
      </w:pPr>
    </w:p>
    <w:p w14:paraId="05071C71" w14:textId="02981A22" w:rsidR="008A4475" w:rsidRDefault="008A4475" w:rsidP="74BA1F49">
      <w:pPr>
        <w:rPr>
          <w:rFonts w:ascii="Arial" w:eastAsia="Arial" w:hAnsi="Arial" w:cs="Arial"/>
        </w:rPr>
      </w:pPr>
    </w:p>
    <w:p w14:paraId="7CDAC0F6" w14:textId="3600088D" w:rsidR="008A4475" w:rsidRPr="00E37AC6" w:rsidRDefault="008A4475" w:rsidP="74BA1F49">
      <w:pPr>
        <w:pStyle w:val="Title"/>
        <w:pBdr>
          <w:bottom w:val="single" w:sz="4" w:space="0" w:color="FFB81C"/>
        </w:pBdr>
        <w:rPr>
          <w:rFonts w:eastAsia="Arial"/>
        </w:rPr>
      </w:pPr>
      <w:r w:rsidRPr="74BA1F49">
        <w:rPr>
          <w:rFonts w:eastAsia="Arial"/>
        </w:rPr>
        <w:t>Retirement Readiness Resource Guide</w:t>
      </w:r>
    </w:p>
    <w:p w14:paraId="6F299A1F" w14:textId="77777777" w:rsidR="008A4475" w:rsidRDefault="008A4475" w:rsidP="74BA1F49">
      <w:pPr>
        <w:rPr>
          <w:rFonts w:ascii="Arial" w:eastAsia="Arial" w:hAnsi="Arial" w:cs="Arial"/>
        </w:rPr>
      </w:pPr>
    </w:p>
    <w:p w14:paraId="3D109EAD" w14:textId="4CFE2C92" w:rsidR="008A4475" w:rsidRPr="00E37AC6" w:rsidRDefault="008A4475" w:rsidP="74BA1F49">
      <w:pPr>
        <w:spacing w:before="120" w:after="120"/>
        <w:rPr>
          <w:rFonts w:ascii="Arial" w:eastAsia="Arial" w:hAnsi="Arial" w:cs="Arial"/>
        </w:rPr>
      </w:pPr>
      <w:r w:rsidRPr="74BA1F49">
        <w:rPr>
          <w:rFonts w:ascii="Arial" w:eastAsia="Arial" w:hAnsi="Arial" w:cs="Arial"/>
          <w:b/>
          <w:bCs/>
        </w:rPr>
        <w:t>Important:</w:t>
      </w:r>
      <w:r w:rsidRPr="74BA1F49">
        <w:rPr>
          <w:rFonts w:ascii="Arial" w:eastAsia="Arial" w:hAnsi="Arial" w:cs="Arial"/>
        </w:rPr>
        <w:t xml:space="preserve"> this sheet is for general educational purposes only and is not legal, tax, financial, or investment advice. Consult a qualified professional about your individual circumstances.</w:t>
      </w:r>
    </w:p>
    <w:p w14:paraId="41A418FB" w14:textId="010E1D1F" w:rsidR="008A4475" w:rsidRPr="00E37AC6" w:rsidRDefault="008A4475" w:rsidP="74BA1F49">
      <w:pPr>
        <w:pStyle w:val="Heading1"/>
        <w:pBdr>
          <w:bottom w:val="single" w:sz="4" w:space="0" w:color="FFB81C"/>
        </w:pBdr>
        <w:rPr>
          <w:rFonts w:eastAsia="Arial"/>
        </w:rPr>
      </w:pPr>
      <w:r w:rsidRPr="74BA1F49">
        <w:rPr>
          <w:rFonts w:eastAsia="Arial"/>
        </w:rPr>
        <w:t>1. Survivorship Benefits</w:t>
      </w:r>
    </w:p>
    <w:p w14:paraId="4F5F2F9F" w14:textId="37324095" w:rsidR="008A4475" w:rsidRPr="00E37AC6" w:rsidRDefault="008A4475" w:rsidP="74BA1F49">
      <w:pPr>
        <w:rPr>
          <w:rFonts w:ascii="Arial" w:eastAsia="Arial" w:hAnsi="Arial" w:cs="Arial"/>
        </w:rPr>
      </w:pPr>
      <w:r w:rsidRPr="74BA1F49">
        <w:rPr>
          <w:rFonts w:ascii="Arial" w:eastAsia="Arial" w:hAnsi="Arial" w:cs="Arial"/>
        </w:rPr>
        <w:t>What happens to a surviving spouse or domestic partner's coverage under the University of Pittsburgh Defined Dollar Benefit (DDB) Plan when a retiree passes away:</w:t>
      </w:r>
    </w:p>
    <w:p w14:paraId="11B2C9D2" w14:textId="7ADDAE29"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Retiree's death:</w:t>
      </w:r>
      <w:r w:rsidRPr="74BA1F49">
        <w:rPr>
          <w:rFonts w:ascii="Arial" w:eastAsia="Arial" w:hAnsi="Arial" w:cs="Arial"/>
        </w:rPr>
        <w:t xml:space="preserve"> The retiree's own DDB credits dissolve immediately and are non-transferable.</w:t>
      </w:r>
    </w:p>
    <w:p w14:paraId="12F535B7" w14:textId="4A50001F"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3-month transition period:</w:t>
      </w:r>
      <w:r w:rsidRPr="74BA1F49">
        <w:rPr>
          <w:rFonts w:ascii="Arial" w:eastAsia="Arial" w:hAnsi="Arial" w:cs="Arial"/>
        </w:rPr>
        <w:t xml:space="preserve"> The eligible surviving spouse/partner's coverage continues for 3 months at the same cost share or through continued DDB credits.</w:t>
      </w:r>
    </w:p>
    <w:p w14:paraId="641A5856" w14:textId="38D38FB2"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Starting month 4:</w:t>
      </w:r>
      <w:r w:rsidRPr="74BA1F49">
        <w:rPr>
          <w:rFonts w:ascii="Arial" w:eastAsia="Arial" w:hAnsi="Arial" w:cs="Arial"/>
        </w:rPr>
        <w:t xml:space="preserve"> The spouse/partner may continue University coverage but pays the full monthly premium. If they choose to leave University coverage, they cannot return.</w:t>
      </w:r>
    </w:p>
    <w:p w14:paraId="61BBD78C" w14:textId="60E0692F"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Remaining DDB credits:</w:t>
      </w:r>
      <w:r w:rsidRPr="74BA1F49">
        <w:rPr>
          <w:rFonts w:ascii="Arial" w:eastAsia="Arial" w:hAnsi="Arial" w:cs="Arial"/>
        </w:rPr>
        <w:t xml:space="preserve"> Credits in the surviving spouse/partner's own account can be used until depleted or until their death; unused credits then dissolve.</w:t>
      </w:r>
    </w:p>
    <w:p w14:paraId="7E48FCCF" w14:textId="2E4BF5D9"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When coverage ends:</w:t>
      </w:r>
      <w:r w:rsidRPr="74BA1F49">
        <w:rPr>
          <w:rFonts w:ascii="Arial" w:eastAsia="Arial" w:hAnsi="Arial" w:cs="Arial"/>
        </w:rPr>
        <w:t xml:space="preserve"> Eligibility ends if the surviving spouse remarries, the domestic partner enters a new domestic partnership, or a monthly premium goes unpaid.</w:t>
      </w:r>
    </w:p>
    <w:p w14:paraId="51178111" w14:textId="2A2F2EF4" w:rsidR="008A4475" w:rsidRDefault="008A4475" w:rsidP="74BA1F49">
      <w:pPr>
        <w:rPr>
          <w:rFonts w:ascii="Arial" w:eastAsia="Arial" w:hAnsi="Arial" w:cs="Arial"/>
        </w:rPr>
      </w:pPr>
    </w:p>
    <w:p w14:paraId="0DBF4A5C" w14:textId="0413C78B" w:rsidR="008A4475" w:rsidRPr="00E37AC6" w:rsidRDefault="008A4475" w:rsidP="74BA1F49">
      <w:pPr>
        <w:pStyle w:val="Heading1"/>
        <w:pBdr>
          <w:bottom w:val="single" w:sz="4" w:space="0" w:color="FFB81C"/>
        </w:pBdr>
        <w:rPr>
          <w:rFonts w:eastAsia="Arial"/>
        </w:rPr>
      </w:pPr>
      <w:r w:rsidRPr="74BA1F49">
        <w:rPr>
          <w:rFonts w:eastAsia="Arial"/>
        </w:rPr>
        <w:t>2. Steps After a Death</w:t>
      </w:r>
    </w:p>
    <w:p w14:paraId="7E947573" w14:textId="3495D01D" w:rsidR="008A4475" w:rsidRPr="00E37AC6" w:rsidRDefault="008A4475" w:rsidP="74BA1F49">
      <w:pPr>
        <w:pStyle w:val="Heading2"/>
        <w:rPr>
          <w:rFonts w:ascii="Arial" w:eastAsia="Arial" w:hAnsi="Arial" w:cs="Arial"/>
        </w:rPr>
      </w:pPr>
      <w:r w:rsidRPr="74BA1F49">
        <w:rPr>
          <w:rFonts w:ascii="Arial" w:eastAsia="Arial" w:hAnsi="Arial" w:cs="Arial"/>
        </w:rPr>
        <w:t>If the Retiree Passes Away</w:t>
      </w:r>
    </w:p>
    <w:p w14:paraId="206AA84D" w14:textId="040DC25C" w:rsidR="008A4475" w:rsidRPr="00E37AC6" w:rsidRDefault="008A4475" w:rsidP="74BA1F49">
      <w:pPr>
        <w:pStyle w:val="ListNumber"/>
        <w:spacing w:before="40" w:after="40"/>
        <w:rPr>
          <w:rFonts w:ascii="Arial" w:eastAsia="Arial" w:hAnsi="Arial" w:cs="Arial"/>
        </w:rPr>
      </w:pPr>
      <w:r w:rsidRPr="74BA1F49">
        <w:rPr>
          <w:rFonts w:ascii="Arial" w:eastAsia="Arial" w:hAnsi="Arial" w:cs="Arial"/>
        </w:rPr>
        <w:t>Notify BMS, Securian &amp; TIAA — report the death and provide the death certificate to begin claims processing.</w:t>
      </w:r>
    </w:p>
    <w:p w14:paraId="36C75EA0" w14:textId="4BBB12F7" w:rsidR="008A4475" w:rsidRPr="00E37AC6" w:rsidRDefault="008A4475" w:rsidP="74BA1F49">
      <w:pPr>
        <w:pStyle w:val="ListNumber"/>
        <w:spacing w:before="40" w:after="40"/>
        <w:rPr>
          <w:rFonts w:ascii="Arial" w:eastAsia="Arial" w:hAnsi="Arial" w:cs="Arial"/>
        </w:rPr>
      </w:pPr>
      <w:r w:rsidRPr="74BA1F49">
        <w:rPr>
          <w:rFonts w:ascii="Arial" w:eastAsia="Arial" w:hAnsi="Arial" w:cs="Arial"/>
        </w:rPr>
        <w:t>Retiree's DDB credits dissolve — the retiree's DDB account closes immediately upon death.</w:t>
      </w:r>
    </w:p>
    <w:p w14:paraId="1985F300" w14:textId="1FFD29CA" w:rsidR="008A4475" w:rsidRPr="00E37AC6" w:rsidRDefault="008A4475" w:rsidP="74BA1F49">
      <w:pPr>
        <w:pStyle w:val="ListNumber"/>
        <w:spacing w:before="40" w:after="40"/>
        <w:rPr>
          <w:rFonts w:ascii="Arial" w:eastAsia="Arial" w:hAnsi="Arial" w:cs="Arial"/>
        </w:rPr>
      </w:pPr>
      <w:r w:rsidRPr="74BA1F49">
        <w:rPr>
          <w:rFonts w:ascii="Arial" w:eastAsia="Arial" w:hAnsi="Arial" w:cs="Arial"/>
        </w:rPr>
        <w:t>3-month transition — the surviving spouse/partner's coverage continues via cost share or DDB credits.</w:t>
      </w:r>
    </w:p>
    <w:p w14:paraId="42C7F66E" w14:textId="5A3881FE" w:rsidR="008A4475" w:rsidRPr="00E37AC6" w:rsidRDefault="008A4475" w:rsidP="74BA1F49">
      <w:pPr>
        <w:pStyle w:val="ListNumber"/>
        <w:spacing w:before="40" w:after="40"/>
        <w:rPr>
          <w:rFonts w:ascii="Arial" w:eastAsia="Arial" w:hAnsi="Arial" w:cs="Arial"/>
        </w:rPr>
      </w:pPr>
      <w:r w:rsidRPr="74BA1F49">
        <w:rPr>
          <w:rFonts w:ascii="Arial" w:eastAsia="Arial" w:hAnsi="Arial" w:cs="Arial"/>
        </w:rPr>
        <w:t xml:space="preserve">After the transition (month </w:t>
      </w:r>
      <w:proofErr w:type="gramStart"/>
      <w:r w:rsidRPr="74BA1F49">
        <w:rPr>
          <w:rFonts w:ascii="Arial" w:eastAsia="Arial" w:hAnsi="Arial" w:cs="Arial"/>
        </w:rPr>
        <w:t>4) —</w:t>
      </w:r>
      <w:proofErr w:type="gramEnd"/>
      <w:r w:rsidRPr="74BA1F49">
        <w:rPr>
          <w:rFonts w:ascii="Arial" w:eastAsia="Arial" w:hAnsi="Arial" w:cs="Arial"/>
        </w:rPr>
        <w:t xml:space="preserve"> the spouse/partner may continue University coverage at the full premium.</w:t>
      </w:r>
    </w:p>
    <w:p w14:paraId="0C45B2FB" w14:textId="56EA5217" w:rsidR="008A4475" w:rsidRPr="00E37AC6" w:rsidRDefault="008A4475" w:rsidP="74BA1F49">
      <w:pPr>
        <w:pStyle w:val="ListNumber"/>
        <w:spacing w:before="40" w:after="40"/>
        <w:rPr>
          <w:rFonts w:ascii="Arial" w:eastAsia="Arial" w:hAnsi="Arial" w:cs="Arial"/>
        </w:rPr>
      </w:pPr>
      <w:r w:rsidRPr="74BA1F49">
        <w:rPr>
          <w:rFonts w:ascii="Arial" w:eastAsia="Arial" w:hAnsi="Arial" w:cs="Arial"/>
        </w:rPr>
        <w:t>Ongoing eligibility — continues until remarriage/new domestic partnership or a missed premium payment.</w:t>
      </w:r>
    </w:p>
    <w:p w14:paraId="68EFF291" w14:textId="11103E62" w:rsidR="008A4475" w:rsidRPr="00E37AC6" w:rsidRDefault="008A4475" w:rsidP="74BA1F49">
      <w:pPr>
        <w:pStyle w:val="Heading2"/>
        <w:rPr>
          <w:rFonts w:ascii="Arial" w:eastAsia="Arial" w:hAnsi="Arial" w:cs="Arial"/>
        </w:rPr>
      </w:pPr>
      <w:r w:rsidRPr="74BA1F49">
        <w:rPr>
          <w:rFonts w:ascii="Arial" w:eastAsia="Arial" w:hAnsi="Arial" w:cs="Arial"/>
        </w:rPr>
        <w:t>If the Spouse/Domestic Partner Passes Away</w:t>
      </w:r>
    </w:p>
    <w:p w14:paraId="58398508" w14:textId="26C03AE8"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Notify BMS</w:t>
      </w:r>
      <w:r w:rsidRPr="74BA1F49">
        <w:rPr>
          <w:rFonts w:ascii="Arial" w:eastAsia="Arial" w:hAnsi="Arial" w:cs="Arial"/>
        </w:rPr>
        <w:t xml:space="preserve"> — report the death.</w:t>
      </w:r>
    </w:p>
    <w:p w14:paraId="31B17460" w14:textId="4D1D8289"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Retiree's coverage continues</w:t>
      </w:r>
      <w:r w:rsidRPr="74BA1F49">
        <w:rPr>
          <w:rFonts w:ascii="Arial" w:eastAsia="Arial" w:hAnsi="Arial" w:cs="Arial"/>
        </w:rPr>
        <w:t xml:space="preserve"> — the retiree's own medical and DDB benefits are unaffected.</w:t>
      </w:r>
    </w:p>
    <w:p w14:paraId="7FCA5300" w14:textId="31AA7816"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Spouse's DDB account closes</w:t>
      </w:r>
      <w:r w:rsidRPr="74BA1F49">
        <w:rPr>
          <w:rFonts w:ascii="Arial" w:eastAsia="Arial" w:hAnsi="Arial" w:cs="Arial"/>
        </w:rPr>
        <w:t xml:space="preserve"> — any credits in the deceased spouse/partner's own account dissolve and are non-transferable.</w:t>
      </w:r>
    </w:p>
    <w:p w14:paraId="0FDF15D2" w14:textId="3573357A"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No transition period</w:t>
      </w:r>
      <w:r w:rsidRPr="74BA1F49">
        <w:rPr>
          <w:rFonts w:ascii="Arial" w:eastAsia="Arial" w:hAnsi="Arial" w:cs="Arial"/>
        </w:rPr>
        <w:t xml:space="preserve"> — the retiree remains eligible, so there is no lapse in their own coverage.</w:t>
      </w:r>
    </w:p>
    <w:p w14:paraId="7C54E5A3" w14:textId="1750D54D" w:rsidR="008A4475" w:rsidRDefault="008A4475" w:rsidP="74BA1F49">
      <w:pPr>
        <w:rPr>
          <w:rFonts w:ascii="Arial" w:eastAsia="Arial" w:hAnsi="Arial" w:cs="Arial"/>
        </w:rPr>
      </w:pPr>
    </w:p>
    <w:p w14:paraId="5FFAA1F0" w14:textId="06EDE1E1" w:rsidR="008A4475" w:rsidRPr="00E37AC6" w:rsidRDefault="008A4475" w:rsidP="74BA1F49">
      <w:pPr>
        <w:pStyle w:val="Heading1"/>
        <w:pBdr>
          <w:bottom w:val="single" w:sz="4" w:space="0" w:color="FFB81C"/>
        </w:pBdr>
        <w:rPr>
          <w:rFonts w:eastAsia="Arial"/>
        </w:rPr>
      </w:pPr>
      <w:r w:rsidRPr="74BA1F49">
        <w:rPr>
          <w:rFonts w:eastAsia="Arial"/>
        </w:rPr>
        <w:t>3. Real-Life Scenarios</w:t>
      </w:r>
    </w:p>
    <w:p w14:paraId="2D235A9E" w14:textId="3FA86AD3" w:rsidR="008A4475" w:rsidRPr="00E37AC6" w:rsidRDefault="008A4475" w:rsidP="74BA1F49">
      <w:pPr>
        <w:rPr>
          <w:rFonts w:ascii="Arial" w:eastAsia="Arial" w:hAnsi="Arial" w:cs="Arial"/>
        </w:rPr>
      </w:pPr>
      <w:r w:rsidRPr="74BA1F49">
        <w:rPr>
          <w:rFonts w:ascii="Arial" w:eastAsia="Arial" w:hAnsi="Arial" w:cs="Arial"/>
        </w:rPr>
        <w:t>Three examples from the session show how the rules apply in practice. The 3-month transition begins the first month after the death.</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2160"/>
        <w:gridCol w:w="2638"/>
        <w:gridCol w:w="2638"/>
        <w:gridCol w:w="2638"/>
      </w:tblGrid>
      <w:tr w:rsidR="008A4475" w:rsidRPr="00E37AC6" w14:paraId="67363DC4" w14:textId="77777777" w:rsidTr="74BA1F49">
        <w:trPr>
          <w:tblHeader/>
        </w:trPr>
        <w:tc>
          <w:tcPr>
            <w:tcW w:w="2160" w:type="dxa"/>
            <w:shd w:val="clear" w:color="auto" w:fill="003594"/>
            <w:tcMar>
              <w:top w:w="60" w:type="dxa"/>
              <w:left w:w="120" w:type="dxa"/>
              <w:bottom w:w="60" w:type="dxa"/>
              <w:right w:w="120" w:type="dxa"/>
            </w:tcMar>
            <w:vAlign w:val="center"/>
          </w:tcPr>
          <w:p w14:paraId="40581E7D" w14:textId="77777777" w:rsidR="008A4475" w:rsidRPr="00E37AC6" w:rsidRDefault="008A4475" w:rsidP="74BA1F49">
            <w:pPr>
              <w:rPr>
                <w:rFonts w:ascii="Arial" w:eastAsia="Arial" w:hAnsi="Arial" w:cs="Arial"/>
                <w:b/>
                <w:bCs/>
                <w:color w:val="FFFFFF"/>
                <w:sz w:val="19"/>
                <w:szCs w:val="19"/>
              </w:rPr>
            </w:pPr>
            <w:r w:rsidRPr="74BA1F49">
              <w:rPr>
                <w:rFonts w:ascii="Arial" w:eastAsia="Arial" w:hAnsi="Arial" w:cs="Arial"/>
                <w:b/>
                <w:bCs/>
                <w:color w:val="FFFFFF" w:themeColor="background1"/>
                <w:sz w:val="19"/>
                <w:szCs w:val="19"/>
              </w:rPr>
              <w:lastRenderedPageBreak/>
              <w:t>Scenario</w:t>
            </w:r>
          </w:p>
        </w:tc>
        <w:tc>
          <w:tcPr>
            <w:tcW w:w="2640" w:type="dxa"/>
            <w:shd w:val="clear" w:color="auto" w:fill="003594"/>
            <w:tcMar>
              <w:top w:w="60" w:type="dxa"/>
              <w:left w:w="120" w:type="dxa"/>
              <w:bottom w:w="60" w:type="dxa"/>
              <w:right w:w="120" w:type="dxa"/>
            </w:tcMar>
            <w:vAlign w:val="center"/>
          </w:tcPr>
          <w:p w14:paraId="0F967901" w14:textId="77777777" w:rsidR="008A4475" w:rsidRPr="00E37AC6" w:rsidRDefault="008A4475" w:rsidP="74BA1F49">
            <w:pPr>
              <w:rPr>
                <w:rFonts w:ascii="Arial" w:eastAsia="Arial" w:hAnsi="Arial" w:cs="Arial"/>
                <w:b/>
                <w:bCs/>
                <w:color w:val="FFFFFF"/>
                <w:sz w:val="19"/>
                <w:szCs w:val="19"/>
              </w:rPr>
            </w:pPr>
            <w:r w:rsidRPr="74BA1F49">
              <w:rPr>
                <w:rFonts w:ascii="Arial" w:eastAsia="Arial" w:hAnsi="Arial" w:cs="Arial"/>
                <w:b/>
                <w:bCs/>
                <w:color w:val="FFFFFF" w:themeColor="background1"/>
                <w:sz w:val="19"/>
                <w:szCs w:val="19"/>
              </w:rPr>
              <w:t>Before the Death</w:t>
            </w:r>
          </w:p>
        </w:tc>
        <w:tc>
          <w:tcPr>
            <w:tcW w:w="2640" w:type="dxa"/>
            <w:shd w:val="clear" w:color="auto" w:fill="003594"/>
            <w:tcMar>
              <w:top w:w="60" w:type="dxa"/>
              <w:left w:w="120" w:type="dxa"/>
              <w:bottom w:w="60" w:type="dxa"/>
              <w:right w:w="120" w:type="dxa"/>
            </w:tcMar>
            <w:vAlign w:val="center"/>
          </w:tcPr>
          <w:p w14:paraId="1AACDBCE" w14:textId="77777777" w:rsidR="008A4475" w:rsidRPr="00E37AC6" w:rsidRDefault="008A4475" w:rsidP="74BA1F49">
            <w:pPr>
              <w:rPr>
                <w:rFonts w:ascii="Arial" w:eastAsia="Arial" w:hAnsi="Arial" w:cs="Arial"/>
                <w:b/>
                <w:bCs/>
                <w:color w:val="FFFFFF"/>
                <w:sz w:val="19"/>
                <w:szCs w:val="19"/>
              </w:rPr>
            </w:pPr>
            <w:r w:rsidRPr="74BA1F49">
              <w:rPr>
                <w:rFonts w:ascii="Arial" w:eastAsia="Arial" w:hAnsi="Arial" w:cs="Arial"/>
                <w:b/>
                <w:bCs/>
                <w:color w:val="FFFFFF" w:themeColor="background1"/>
                <w:sz w:val="19"/>
                <w:szCs w:val="19"/>
              </w:rPr>
              <w:t>First 3 Months</w:t>
            </w:r>
          </w:p>
        </w:tc>
        <w:tc>
          <w:tcPr>
            <w:tcW w:w="2640" w:type="dxa"/>
            <w:shd w:val="clear" w:color="auto" w:fill="003594"/>
            <w:tcMar>
              <w:top w:w="60" w:type="dxa"/>
              <w:left w:w="120" w:type="dxa"/>
              <w:bottom w:w="60" w:type="dxa"/>
              <w:right w:w="120" w:type="dxa"/>
            </w:tcMar>
            <w:vAlign w:val="center"/>
          </w:tcPr>
          <w:p w14:paraId="74792967" w14:textId="77777777" w:rsidR="008A4475" w:rsidRPr="00E37AC6" w:rsidRDefault="008A4475" w:rsidP="74BA1F49">
            <w:pPr>
              <w:rPr>
                <w:rFonts w:ascii="Arial" w:eastAsia="Arial" w:hAnsi="Arial" w:cs="Arial"/>
                <w:b/>
                <w:bCs/>
                <w:color w:val="FFFFFF"/>
                <w:sz w:val="19"/>
                <w:szCs w:val="19"/>
              </w:rPr>
            </w:pPr>
            <w:r w:rsidRPr="74BA1F49">
              <w:rPr>
                <w:rFonts w:ascii="Arial" w:eastAsia="Arial" w:hAnsi="Arial" w:cs="Arial"/>
                <w:b/>
                <w:bCs/>
                <w:color w:val="FFFFFF" w:themeColor="background1"/>
                <w:sz w:val="19"/>
                <w:szCs w:val="19"/>
              </w:rPr>
              <w:t>Starting Month 4</w:t>
            </w:r>
          </w:p>
        </w:tc>
      </w:tr>
      <w:tr w:rsidR="008A4475" w:rsidRPr="00E37AC6" w14:paraId="7F4B0879" w14:textId="77777777" w:rsidTr="74BA1F49">
        <w:tc>
          <w:tcPr>
            <w:tcW w:w="2160" w:type="dxa"/>
            <w:shd w:val="clear" w:color="auto" w:fill="D6E4F7"/>
            <w:tcMar>
              <w:top w:w="60" w:type="dxa"/>
              <w:left w:w="120" w:type="dxa"/>
              <w:bottom w:w="60" w:type="dxa"/>
              <w:right w:w="120" w:type="dxa"/>
            </w:tcMar>
          </w:tcPr>
          <w:p w14:paraId="26EC7108"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Maria (65), retiree, dies July 29; husband (63) and daughter (22)</w:t>
            </w:r>
          </w:p>
        </w:tc>
        <w:tc>
          <w:tcPr>
            <w:tcW w:w="2640" w:type="dxa"/>
            <w:shd w:val="clear" w:color="auto" w:fill="FFFFFF" w:themeFill="background1"/>
            <w:tcMar>
              <w:top w:w="60" w:type="dxa"/>
              <w:left w:w="120" w:type="dxa"/>
              <w:bottom w:w="60" w:type="dxa"/>
              <w:right w:w="120" w:type="dxa"/>
            </w:tcMar>
          </w:tcPr>
          <w:p w14:paraId="57B8F7CD"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 xml:space="preserve">Maria: Individual </w:t>
            </w:r>
            <w:proofErr w:type="gramStart"/>
            <w:r w:rsidRPr="74BA1F49">
              <w:rPr>
                <w:rFonts w:ascii="Arial" w:eastAsia="Arial" w:hAnsi="Arial" w:cs="Arial"/>
                <w:sz w:val="19"/>
                <w:szCs w:val="19"/>
              </w:rPr>
              <w:t>Post-65</w:t>
            </w:r>
            <w:proofErr w:type="gramEnd"/>
            <w:r w:rsidRPr="74BA1F49">
              <w:rPr>
                <w:rFonts w:ascii="Arial" w:eastAsia="Arial" w:hAnsi="Arial" w:cs="Arial"/>
                <w:sz w:val="19"/>
                <w:szCs w:val="19"/>
              </w:rPr>
              <w:t xml:space="preserve"> plan with DDB credits. Husband + daughter: Pre-65 plan at retiree cost share (no DDB).</w:t>
            </w:r>
          </w:p>
        </w:tc>
        <w:tc>
          <w:tcPr>
            <w:tcW w:w="2640" w:type="dxa"/>
            <w:shd w:val="clear" w:color="auto" w:fill="FFFFFF" w:themeFill="background1"/>
            <w:tcMar>
              <w:top w:w="60" w:type="dxa"/>
              <w:left w:w="120" w:type="dxa"/>
              <w:bottom w:w="60" w:type="dxa"/>
              <w:right w:w="120" w:type="dxa"/>
            </w:tcMar>
          </w:tcPr>
          <w:p w14:paraId="6E0760A4"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Aug–Oct: Maria's plan ends July 31; her DDB credits dissolve. Husband + daughter stay on a Pre-65 Parent/Child plan at retiree cost share.</w:t>
            </w:r>
          </w:p>
        </w:tc>
        <w:tc>
          <w:tcPr>
            <w:tcW w:w="2640" w:type="dxa"/>
            <w:shd w:val="clear" w:color="auto" w:fill="FFFFFF" w:themeFill="background1"/>
            <w:tcMar>
              <w:top w:w="60" w:type="dxa"/>
              <w:left w:w="120" w:type="dxa"/>
              <w:bottom w:w="60" w:type="dxa"/>
              <w:right w:w="120" w:type="dxa"/>
            </w:tcMar>
          </w:tcPr>
          <w:p w14:paraId="2C13665F"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Nov 1: Husband + daughter may continue the Pre-65 Parent/Child plan at full cost (no DDB).</w:t>
            </w:r>
          </w:p>
        </w:tc>
      </w:tr>
      <w:tr w:rsidR="008A4475" w:rsidRPr="00E37AC6" w14:paraId="3410856D" w14:textId="77777777" w:rsidTr="74BA1F49">
        <w:tc>
          <w:tcPr>
            <w:tcW w:w="2160" w:type="dxa"/>
            <w:shd w:val="clear" w:color="auto" w:fill="D6E4F7"/>
            <w:tcMar>
              <w:top w:w="60" w:type="dxa"/>
              <w:left w:w="120" w:type="dxa"/>
              <w:bottom w:w="60" w:type="dxa"/>
              <w:right w:w="120" w:type="dxa"/>
            </w:tcMar>
          </w:tcPr>
          <w:p w14:paraId="7C911279"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Robert (65), retiree, dies Aug 1; spouse Sarah (58), no children</w:t>
            </w:r>
          </w:p>
        </w:tc>
        <w:tc>
          <w:tcPr>
            <w:tcW w:w="2640" w:type="dxa"/>
            <w:shd w:val="clear" w:color="auto" w:fill="FFFFFF" w:themeFill="background1"/>
            <w:tcMar>
              <w:top w:w="60" w:type="dxa"/>
              <w:left w:w="120" w:type="dxa"/>
              <w:bottom w:w="60" w:type="dxa"/>
              <w:right w:w="120" w:type="dxa"/>
            </w:tcMar>
          </w:tcPr>
          <w:p w14:paraId="647EAA5C"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 xml:space="preserve">Robert: Individual </w:t>
            </w:r>
            <w:proofErr w:type="gramStart"/>
            <w:r w:rsidRPr="74BA1F49">
              <w:rPr>
                <w:rFonts w:ascii="Arial" w:eastAsia="Arial" w:hAnsi="Arial" w:cs="Arial"/>
                <w:sz w:val="19"/>
                <w:szCs w:val="19"/>
              </w:rPr>
              <w:t>Post-65</w:t>
            </w:r>
            <w:proofErr w:type="gramEnd"/>
            <w:r w:rsidRPr="74BA1F49">
              <w:rPr>
                <w:rFonts w:ascii="Arial" w:eastAsia="Arial" w:hAnsi="Arial" w:cs="Arial"/>
                <w:sz w:val="19"/>
                <w:szCs w:val="19"/>
              </w:rPr>
              <w:t xml:space="preserve"> plan with DDB credits. Sarah (under 62): own Individual Pre-65 plan at full cost (no DDB).</w:t>
            </w:r>
          </w:p>
        </w:tc>
        <w:tc>
          <w:tcPr>
            <w:tcW w:w="2640" w:type="dxa"/>
            <w:shd w:val="clear" w:color="auto" w:fill="FFFFFF" w:themeFill="background1"/>
            <w:tcMar>
              <w:top w:w="60" w:type="dxa"/>
              <w:left w:w="120" w:type="dxa"/>
              <w:bottom w:w="60" w:type="dxa"/>
              <w:right w:w="120" w:type="dxa"/>
            </w:tcMar>
          </w:tcPr>
          <w:p w14:paraId="6A5A75BE"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 xml:space="preserve">Sep–Nov: Robert's plan ends Aug 31; his DDB credits dissolve. Sarah remains on her </w:t>
            </w:r>
            <w:proofErr w:type="gramStart"/>
            <w:r w:rsidRPr="74BA1F49">
              <w:rPr>
                <w:rFonts w:ascii="Arial" w:eastAsia="Arial" w:hAnsi="Arial" w:cs="Arial"/>
                <w:sz w:val="19"/>
                <w:szCs w:val="19"/>
              </w:rPr>
              <w:t>Pre-65</w:t>
            </w:r>
            <w:proofErr w:type="gramEnd"/>
            <w:r w:rsidRPr="74BA1F49">
              <w:rPr>
                <w:rFonts w:ascii="Arial" w:eastAsia="Arial" w:hAnsi="Arial" w:cs="Arial"/>
                <w:sz w:val="19"/>
                <w:szCs w:val="19"/>
              </w:rPr>
              <w:t xml:space="preserve"> plan at full cost.</w:t>
            </w:r>
          </w:p>
        </w:tc>
        <w:tc>
          <w:tcPr>
            <w:tcW w:w="2640" w:type="dxa"/>
            <w:shd w:val="clear" w:color="auto" w:fill="FFFFFF" w:themeFill="background1"/>
            <w:tcMar>
              <w:top w:w="60" w:type="dxa"/>
              <w:left w:w="120" w:type="dxa"/>
              <w:bottom w:w="60" w:type="dxa"/>
              <w:right w:w="120" w:type="dxa"/>
            </w:tcMar>
          </w:tcPr>
          <w:p w14:paraId="2B63F090"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Dec 1: Sarah may continue her Individual Pre-65 plan at full cost (no DDB).</w:t>
            </w:r>
          </w:p>
        </w:tc>
      </w:tr>
      <w:tr w:rsidR="008A4475" w:rsidRPr="00E37AC6" w14:paraId="44D92DE0" w14:textId="77777777" w:rsidTr="74BA1F49">
        <w:tc>
          <w:tcPr>
            <w:tcW w:w="2160" w:type="dxa"/>
            <w:shd w:val="clear" w:color="auto" w:fill="D6E4F7"/>
            <w:tcMar>
              <w:top w:w="60" w:type="dxa"/>
              <w:left w:w="120" w:type="dxa"/>
              <w:bottom w:w="60" w:type="dxa"/>
              <w:right w:w="120" w:type="dxa"/>
            </w:tcMar>
          </w:tcPr>
          <w:p w14:paraId="78DB7A84"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David (67), retiree, dies Aug 15; spouse Michael (67), no children</w:t>
            </w:r>
          </w:p>
        </w:tc>
        <w:tc>
          <w:tcPr>
            <w:tcW w:w="2640" w:type="dxa"/>
            <w:shd w:val="clear" w:color="auto" w:fill="FFFFFF" w:themeFill="background1"/>
            <w:tcMar>
              <w:top w:w="60" w:type="dxa"/>
              <w:left w:w="120" w:type="dxa"/>
              <w:bottom w:w="60" w:type="dxa"/>
              <w:right w:w="120" w:type="dxa"/>
            </w:tcMar>
          </w:tcPr>
          <w:p w14:paraId="16F80494"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David and Michael each have an Individual Post-65 plan with DDB credits.</w:t>
            </w:r>
          </w:p>
        </w:tc>
        <w:tc>
          <w:tcPr>
            <w:tcW w:w="2640" w:type="dxa"/>
            <w:shd w:val="clear" w:color="auto" w:fill="FFFFFF" w:themeFill="background1"/>
            <w:tcMar>
              <w:top w:w="60" w:type="dxa"/>
              <w:left w:w="120" w:type="dxa"/>
              <w:bottom w:w="60" w:type="dxa"/>
              <w:right w:w="120" w:type="dxa"/>
            </w:tcMar>
          </w:tcPr>
          <w:p w14:paraId="43D46786"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Sep–Nov: David's plan ends Aug 31; his DDB credits dissolve. Michael keeps his plan and may use his remaining DDB credits until depleted.</w:t>
            </w:r>
          </w:p>
        </w:tc>
        <w:tc>
          <w:tcPr>
            <w:tcW w:w="2640" w:type="dxa"/>
            <w:shd w:val="clear" w:color="auto" w:fill="FFFFFF" w:themeFill="background1"/>
            <w:tcMar>
              <w:top w:w="60" w:type="dxa"/>
              <w:left w:w="120" w:type="dxa"/>
              <w:bottom w:w="60" w:type="dxa"/>
              <w:right w:w="120" w:type="dxa"/>
            </w:tcMar>
          </w:tcPr>
          <w:p w14:paraId="46945DA4"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 xml:space="preserve">Dec 1: Michael may continue his </w:t>
            </w:r>
            <w:proofErr w:type="gramStart"/>
            <w:r w:rsidRPr="74BA1F49">
              <w:rPr>
                <w:rFonts w:ascii="Arial" w:eastAsia="Arial" w:hAnsi="Arial" w:cs="Arial"/>
                <w:sz w:val="19"/>
                <w:szCs w:val="19"/>
              </w:rPr>
              <w:t>Post-65</w:t>
            </w:r>
            <w:proofErr w:type="gramEnd"/>
            <w:r w:rsidRPr="74BA1F49">
              <w:rPr>
                <w:rFonts w:ascii="Arial" w:eastAsia="Arial" w:hAnsi="Arial" w:cs="Arial"/>
                <w:sz w:val="19"/>
                <w:szCs w:val="19"/>
              </w:rPr>
              <w:t xml:space="preserve"> plan at full monthly cost; no new DDB credits are issued.</w:t>
            </w:r>
          </w:p>
        </w:tc>
      </w:tr>
    </w:tbl>
    <w:p w14:paraId="5AC1C749" w14:textId="208E3A71" w:rsidR="008A4475" w:rsidRPr="00E37AC6" w:rsidRDefault="008A4475" w:rsidP="74BA1F49">
      <w:pPr>
        <w:rPr>
          <w:rFonts w:ascii="Arial" w:eastAsia="Arial" w:hAnsi="Arial" w:cs="Arial"/>
        </w:rPr>
      </w:pPr>
    </w:p>
    <w:p w14:paraId="57071E59" w14:textId="399AADBE" w:rsidR="008A4475" w:rsidRPr="00E37AC6" w:rsidRDefault="008A4475" w:rsidP="74BA1F49">
      <w:pPr>
        <w:pStyle w:val="Heading1"/>
        <w:pBdr>
          <w:bottom w:val="single" w:sz="4" w:space="0" w:color="FFB81C"/>
        </w:pBdr>
        <w:rPr>
          <w:rFonts w:eastAsia="Arial"/>
        </w:rPr>
      </w:pPr>
      <w:r w:rsidRPr="74BA1F49">
        <w:rPr>
          <w:rFonts w:eastAsia="Arial"/>
        </w:rPr>
        <w:t>4. Beneficiaries</w:t>
      </w:r>
    </w:p>
    <w:p w14:paraId="47242C93" w14:textId="0C719225" w:rsidR="008A4475" w:rsidRPr="00E37AC6" w:rsidRDefault="008A4475" w:rsidP="74BA1F49">
      <w:pPr>
        <w:rPr>
          <w:rFonts w:ascii="Arial" w:eastAsia="Arial" w:hAnsi="Arial" w:cs="Arial"/>
        </w:rPr>
      </w:pPr>
      <w:r w:rsidRPr="74BA1F49">
        <w:rPr>
          <w:rFonts w:ascii="Arial" w:eastAsia="Arial" w:hAnsi="Arial" w:cs="Arial"/>
        </w:rPr>
        <w:t>A beneficiary is the person or entity you choose to receive your benefits when you pass away, such as a spouse or partner, children or other family members, an estate or trust, or a charity. Keeping designations current ensures your benefits go to the right person and prevents delays, disputes, or legal complications for your loved ones.</w:t>
      </w:r>
    </w:p>
    <w:p w14:paraId="51CEE0FD" w14:textId="282BC14D" w:rsidR="008A4475" w:rsidRPr="00E37AC6" w:rsidRDefault="008A4475" w:rsidP="74BA1F49">
      <w:pPr>
        <w:pStyle w:val="Heading2"/>
        <w:rPr>
          <w:rFonts w:ascii="Arial" w:eastAsia="Arial" w:hAnsi="Arial" w:cs="Arial"/>
        </w:rPr>
      </w:pPr>
      <w:r w:rsidRPr="74BA1F49">
        <w:rPr>
          <w:rFonts w:ascii="Arial" w:eastAsia="Arial" w:hAnsi="Arial" w:cs="Arial"/>
        </w:rPr>
        <w:t>Retirement Savings: Spousal Rights</w:t>
      </w:r>
    </w:p>
    <w:p w14:paraId="089A1EBC" w14:textId="159B2112"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If you pass away, your vested interest is paid to your beneficiary (or to your estate if no designation is on file).</w:t>
      </w:r>
    </w:p>
    <w:p w14:paraId="1B99B717" w14:textId="08D2FA5C"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If you are married at the time of your death, your vested interest is paid automatically to your spouse, regardless of any beneficiary designation, unless your spouse has specifically waived that right.</w:t>
      </w:r>
    </w:p>
    <w:p w14:paraId="7311A7F2" w14:textId="5C7458E9"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To name your children or someone other than a spouse, file a beneficiary designation with spousal consent. Prenuptial agreements, separation agreements, and divorce settlements may not govern payments (</w:t>
      </w:r>
      <w:proofErr w:type="gramStart"/>
      <w:r w:rsidRPr="74BA1F49">
        <w:rPr>
          <w:rFonts w:ascii="Arial" w:eastAsia="Arial" w:hAnsi="Arial" w:cs="Arial"/>
        </w:rPr>
        <w:t>with the possible exception of</w:t>
      </w:r>
      <w:proofErr w:type="gramEnd"/>
      <w:r w:rsidRPr="74BA1F49">
        <w:rPr>
          <w:rFonts w:ascii="Arial" w:eastAsia="Arial" w:hAnsi="Arial" w:cs="Arial"/>
        </w:rPr>
        <w:t xml:space="preserve"> certain court-issued domestic relations orders).</w:t>
      </w:r>
    </w:p>
    <w:p w14:paraId="0764F0C5" w14:textId="3553FBA7" w:rsidR="008A4475" w:rsidRPr="00E37AC6" w:rsidRDefault="008A4475" w:rsidP="74BA1F49">
      <w:pPr>
        <w:pStyle w:val="Heading2"/>
        <w:rPr>
          <w:rFonts w:ascii="Arial" w:eastAsia="Arial" w:hAnsi="Arial" w:cs="Arial"/>
        </w:rPr>
      </w:pPr>
      <w:r w:rsidRPr="74BA1F49">
        <w:rPr>
          <w:rFonts w:ascii="Arial" w:eastAsia="Arial" w:hAnsi="Arial" w:cs="Arial"/>
        </w:rPr>
        <w:t>When to Review Your Beneficiaries</w:t>
      </w:r>
    </w:p>
    <w:p w14:paraId="467560CD" w14:textId="2DDE1DCA" w:rsidR="008A4475" w:rsidRPr="00E37AC6" w:rsidRDefault="008A4475" w:rsidP="74BA1F49">
      <w:pPr>
        <w:rPr>
          <w:rFonts w:ascii="Arial" w:eastAsia="Arial" w:hAnsi="Arial" w:cs="Arial"/>
        </w:rPr>
      </w:pPr>
      <w:r w:rsidRPr="74BA1F49">
        <w:rPr>
          <w:rFonts w:ascii="Arial" w:eastAsia="Arial" w:hAnsi="Arial" w:cs="Arial"/>
        </w:rPr>
        <w:t>Review at least once a year, and after any of these events:</w:t>
      </w:r>
    </w:p>
    <w:p w14:paraId="200F6AE5" w14:textId="43A46665"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Marriage or divorce</w:t>
      </w:r>
    </w:p>
    <w:p w14:paraId="0A84A58B" w14:textId="7A1957B1"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Birth or adoption of a child</w:t>
      </w:r>
    </w:p>
    <w:p w14:paraId="1DCF6A83" w14:textId="364F17F1"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Death of a listed beneficiary</w:t>
      </w:r>
    </w:p>
    <w:p w14:paraId="3935F317" w14:textId="63093C9A"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Major life changes (new job, retirement, etc.)</w:t>
      </w:r>
    </w:p>
    <w:p w14:paraId="65BB887A" w14:textId="389175D2" w:rsidR="008A4475" w:rsidRPr="00E37AC6" w:rsidRDefault="008A4475" w:rsidP="74BA1F49">
      <w:pPr>
        <w:pStyle w:val="Heading2"/>
        <w:rPr>
          <w:rFonts w:ascii="Arial" w:eastAsia="Arial" w:hAnsi="Arial" w:cs="Arial"/>
        </w:rPr>
      </w:pPr>
      <w:r w:rsidRPr="74BA1F49">
        <w:rPr>
          <w:rFonts w:ascii="Arial" w:eastAsia="Arial" w:hAnsi="Arial" w:cs="Arial"/>
        </w:rPr>
        <w:t>How to Update Your Beneficiaries</w:t>
      </w:r>
    </w:p>
    <w:p w14:paraId="666FA954" w14:textId="53F83ACE"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Retirement Savings (TIAA):</w:t>
      </w:r>
      <w:r w:rsidRPr="74BA1F49">
        <w:rPr>
          <w:rFonts w:ascii="Arial" w:eastAsia="Arial" w:hAnsi="Arial" w:cs="Arial"/>
        </w:rPr>
        <w:t xml:space="preserve"> Log in to my.pitt.edu, search for "Manage My Retirement Account," select Profile, then click Manage Beneficiaries.</w:t>
      </w:r>
    </w:p>
    <w:p w14:paraId="64BFE2C4" w14:textId="1C236155"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lastRenderedPageBreak/>
        <w:t>Life Insurance (Securian): Visit Securian Financial's website and log in. User ID: PITT followed by your employee ID number (with leading zeros). Password: your eight-digit date of birth (MMDDYYYY) followed by the last four digits of your SSN, or the password you created if you've logged in to LifeBenefits™ before. Select Manage Beneficiaries. More tools are on Securian's Educational Microsite.</w:t>
      </w:r>
    </w:p>
    <w:p w14:paraId="306B5E95" w14:textId="304EC6DC" w:rsidR="008A4475" w:rsidRDefault="008A4475" w:rsidP="74BA1F49">
      <w:pPr>
        <w:rPr>
          <w:rFonts w:ascii="Arial" w:eastAsia="Arial" w:hAnsi="Arial" w:cs="Arial"/>
        </w:rPr>
      </w:pPr>
    </w:p>
    <w:p w14:paraId="22184AC1" w14:textId="619B0EF9" w:rsidR="008A4475" w:rsidRPr="00E37AC6" w:rsidRDefault="008A4475" w:rsidP="74BA1F49">
      <w:pPr>
        <w:pStyle w:val="Heading1"/>
        <w:pBdr>
          <w:bottom w:val="single" w:sz="4" w:space="0" w:color="FFB81C"/>
        </w:pBdr>
        <w:rPr>
          <w:rFonts w:eastAsia="Arial"/>
        </w:rPr>
      </w:pPr>
      <w:r w:rsidRPr="74BA1F49">
        <w:rPr>
          <w:rFonts w:eastAsia="Arial"/>
        </w:rPr>
        <w:t>5. Empathy Program (through Securian)</w:t>
      </w:r>
    </w:p>
    <w:p w14:paraId="18F892AD" w14:textId="1575B4F5" w:rsidR="008A4475" w:rsidRPr="00E37AC6" w:rsidRDefault="008A4475" w:rsidP="74BA1F49">
      <w:pPr>
        <w:rPr>
          <w:rFonts w:ascii="Arial" w:eastAsia="Arial" w:hAnsi="Arial" w:cs="Arial"/>
        </w:rPr>
      </w:pPr>
      <w:r w:rsidRPr="74BA1F49">
        <w:rPr>
          <w:rFonts w:ascii="Arial" w:eastAsia="Arial" w:hAnsi="Arial" w:cs="Arial"/>
        </w:rPr>
        <w:t>Available at no cost to beneficiaries, Empathy offers on-demand tools and human support to help loved ones save time and ease their burden after a loss:</w:t>
      </w:r>
    </w:p>
    <w:p w14:paraId="131FB20B" w14:textId="135D5315"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Dedicated Care Manager</w:t>
      </w:r>
      <w:r w:rsidRPr="74BA1F49">
        <w:rPr>
          <w:rFonts w:ascii="Arial" w:eastAsia="Arial" w:hAnsi="Arial" w:cs="Arial"/>
        </w:rPr>
        <w:t xml:space="preserve"> — live, expert guidance on all aspects of loss.</w:t>
      </w:r>
    </w:p>
    <w:p w14:paraId="41FE1681" w14:textId="5E13C260"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Personalized care plan</w:t>
      </w:r>
      <w:r w:rsidRPr="74BA1F49">
        <w:rPr>
          <w:rFonts w:ascii="Arial" w:eastAsia="Arial" w:hAnsi="Arial" w:cs="Arial"/>
        </w:rPr>
        <w:t xml:space="preserve"> — a step-by-step roadmap tailored to the family's needs.</w:t>
      </w:r>
    </w:p>
    <w:p w14:paraId="4BB229C8" w14:textId="36B1E530"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Probate &amp; estate settlement guidance</w:t>
      </w:r>
      <w:r w:rsidRPr="74BA1F49">
        <w:rPr>
          <w:rFonts w:ascii="Arial" w:eastAsia="Arial" w:hAnsi="Arial" w:cs="Arial"/>
        </w:rPr>
        <w:t xml:space="preserve"> — help navigating probate and settling the estate.</w:t>
      </w:r>
    </w:p>
    <w:p w14:paraId="0CF9AC1C" w14:textId="714E8221"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Time-saving tools</w:t>
      </w:r>
      <w:r w:rsidRPr="74BA1F49">
        <w:rPr>
          <w:rFonts w:ascii="Arial" w:eastAsia="Arial" w:hAnsi="Arial" w:cs="Arial"/>
        </w:rPr>
        <w:t xml:space="preserve"> — help with closing accounts, funeral planning, and more.</w:t>
      </w:r>
    </w:p>
    <w:p w14:paraId="614C6877" w14:textId="45793E33"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Emotional &amp; grief resources</w:t>
      </w:r>
      <w:r w:rsidRPr="74BA1F49">
        <w:rPr>
          <w:rFonts w:ascii="Arial" w:eastAsia="Arial" w:hAnsi="Arial" w:cs="Arial"/>
        </w:rPr>
        <w:t xml:space="preserve"> — meditations, tools, and resources to help process grief.</w:t>
      </w:r>
    </w:p>
    <w:p w14:paraId="4B508335" w14:textId="34D91BDA" w:rsidR="008A4475" w:rsidRPr="00E37AC6" w:rsidRDefault="008A4475" w:rsidP="74BA1F49">
      <w:pPr>
        <w:rPr>
          <w:rFonts w:ascii="Arial" w:eastAsia="Arial" w:hAnsi="Arial" w:cs="Arial"/>
        </w:rPr>
      </w:pPr>
      <w:r w:rsidRPr="74BA1F49">
        <w:rPr>
          <w:rFonts w:ascii="Arial" w:eastAsia="Arial" w:hAnsi="Arial" w:cs="Arial"/>
        </w:rPr>
        <w:t>Call 720-903-4944 (Mon–Sat, 9 a.m.–8 p.m. EST) or use 24/7 chat. Join at join.empathy.com/Securian using access code emp-securian.</w:t>
      </w:r>
    </w:p>
    <w:p w14:paraId="6AC66A42" w14:textId="1DBBF892" w:rsidR="008A4475" w:rsidRDefault="008A4475" w:rsidP="74BA1F49">
      <w:pPr>
        <w:rPr>
          <w:rFonts w:ascii="Arial" w:eastAsia="Arial" w:hAnsi="Arial" w:cs="Arial"/>
        </w:rPr>
      </w:pPr>
    </w:p>
    <w:p w14:paraId="58E7564B" w14:textId="543BEE32" w:rsidR="008A4475" w:rsidRPr="00E37AC6" w:rsidRDefault="008A4475" w:rsidP="74BA1F49">
      <w:pPr>
        <w:pStyle w:val="Heading1"/>
        <w:pBdr>
          <w:bottom w:val="single" w:sz="4" w:space="0" w:color="FFB81C"/>
        </w:pBdr>
        <w:rPr>
          <w:rFonts w:eastAsia="Arial"/>
        </w:rPr>
      </w:pPr>
      <w:r w:rsidRPr="74BA1F49">
        <w:rPr>
          <w:rFonts w:eastAsia="Arial"/>
        </w:rPr>
        <w:t>6. Estate Planning Essentials</w:t>
      </w:r>
    </w:p>
    <w:p w14:paraId="3DE65FE0" w14:textId="263EECDD" w:rsidR="008A4475" w:rsidRPr="00E37AC6" w:rsidRDefault="008A4475" w:rsidP="74BA1F49">
      <w:pPr>
        <w:rPr>
          <w:rFonts w:ascii="Arial" w:eastAsia="Arial" w:hAnsi="Arial" w:cs="Arial"/>
        </w:rPr>
      </w:pPr>
      <w:r w:rsidRPr="74BA1F49">
        <w:rPr>
          <w:rFonts w:ascii="Arial" w:eastAsia="Arial" w:hAnsi="Arial" w:cs="Arial"/>
        </w:rPr>
        <w:t>Presented by guest speaker James T. Benedek, Esq. This is general education, not legal advice; consult an attorney before acting on any of these topics.</w:t>
      </w:r>
    </w:p>
    <w:p w14:paraId="49F8EC0A" w14:textId="1DC68A87" w:rsidR="008A4475" w:rsidRPr="00E37AC6" w:rsidRDefault="008A4475" w:rsidP="74BA1F49">
      <w:pPr>
        <w:pStyle w:val="Heading2"/>
        <w:rPr>
          <w:rFonts w:ascii="Arial" w:eastAsia="Arial" w:hAnsi="Arial" w:cs="Arial"/>
        </w:rPr>
      </w:pPr>
      <w:r w:rsidRPr="74BA1F49">
        <w:rPr>
          <w:rFonts w:ascii="Arial" w:eastAsia="Arial" w:hAnsi="Arial" w:cs="Arial"/>
        </w:rPr>
        <w:t>What Estate Planning Is</w:t>
      </w:r>
    </w:p>
    <w:p w14:paraId="6D842966" w14:textId="5E061C05" w:rsidR="008A4475" w:rsidRPr="00E37AC6" w:rsidRDefault="008A4475" w:rsidP="74BA1F49">
      <w:pPr>
        <w:rPr>
          <w:rFonts w:ascii="Arial" w:eastAsia="Arial" w:hAnsi="Arial" w:cs="Arial"/>
        </w:rPr>
      </w:pPr>
      <w:r w:rsidRPr="74BA1F49">
        <w:rPr>
          <w:rFonts w:ascii="Arial" w:eastAsia="Arial" w:hAnsi="Arial" w:cs="Arial"/>
        </w:rPr>
        <w:t>Estate planning is arranging, during your lifetime, how your assets will be managed and distributed if you die or become incapacitated, while minimizing taxes, costs, and family conflict. Everyone with assets, dependents, or preferences about their own care needs a plan, not just the wealthy. A good plan helps you:</w:t>
      </w:r>
    </w:p>
    <w:p w14:paraId="0235323B" w14:textId="5CAEAD63"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Control</w:t>
      </w:r>
      <w:r w:rsidRPr="74BA1F49">
        <w:rPr>
          <w:rFonts w:ascii="Arial" w:eastAsia="Arial" w:hAnsi="Arial" w:cs="Arial"/>
        </w:rPr>
        <w:t xml:space="preserve"> — decide who receives your assets and who cares for minor children.</w:t>
      </w:r>
    </w:p>
    <w:p w14:paraId="4DD4C4CB" w14:textId="198CC078"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Protect</w:t>
      </w:r>
      <w:r w:rsidRPr="74BA1F49">
        <w:rPr>
          <w:rFonts w:ascii="Arial" w:eastAsia="Arial" w:hAnsi="Arial" w:cs="Arial"/>
        </w:rPr>
        <w:t xml:space="preserve"> — shield beneficiaries and assets from taxes, creditors, and disputes.</w:t>
      </w:r>
    </w:p>
    <w:p w14:paraId="768E84E6" w14:textId="392F3B78"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Prepare</w:t>
      </w:r>
      <w:r w:rsidRPr="74BA1F49">
        <w:rPr>
          <w:rFonts w:ascii="Arial" w:eastAsia="Arial" w:hAnsi="Arial" w:cs="Arial"/>
        </w:rPr>
        <w:t xml:space="preserve"> — name decision-makers before incapacity happens.</w:t>
      </w:r>
    </w:p>
    <w:p w14:paraId="548D64A3" w14:textId="60F28926"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Simplify</w:t>
      </w:r>
      <w:r w:rsidRPr="74BA1F49">
        <w:rPr>
          <w:rFonts w:ascii="Arial" w:eastAsia="Arial" w:hAnsi="Arial" w:cs="Arial"/>
        </w:rPr>
        <w:t xml:space="preserve"> — reduce cost, delay, and stress for loved ones.</w:t>
      </w:r>
    </w:p>
    <w:p w14:paraId="4F5AAF6F" w14:textId="363E3469" w:rsidR="008A4475" w:rsidRPr="00E37AC6" w:rsidRDefault="008A4475" w:rsidP="74BA1F49">
      <w:pPr>
        <w:pStyle w:val="Heading2"/>
        <w:rPr>
          <w:rFonts w:ascii="Arial" w:eastAsia="Arial" w:hAnsi="Arial" w:cs="Arial"/>
        </w:rPr>
      </w:pPr>
      <w:r w:rsidRPr="74BA1F49">
        <w:rPr>
          <w:rFonts w:ascii="Arial" w:eastAsia="Arial" w:hAnsi="Arial" w:cs="Arial"/>
        </w:rPr>
        <w:t>Powers of Attorney &amp; Advance Directives</w:t>
      </w:r>
    </w:p>
    <w:p w14:paraId="65091694" w14:textId="2AFDA51F"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Financial Power of Attorney</w:t>
      </w:r>
      <w:r w:rsidRPr="74BA1F49">
        <w:rPr>
          <w:rFonts w:ascii="Arial" w:eastAsia="Arial" w:hAnsi="Arial" w:cs="Arial"/>
        </w:rPr>
        <w:t xml:space="preserve"> — authorizes an agent to manage finances, pay bills, and handle property if you're incapacitated.</w:t>
      </w:r>
    </w:p>
    <w:p w14:paraId="28B42321" w14:textId="2E6DF7AF"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Healthcare Power of Attorney</w:t>
      </w:r>
      <w:r w:rsidRPr="74BA1F49">
        <w:rPr>
          <w:rFonts w:ascii="Arial" w:eastAsia="Arial" w:hAnsi="Arial" w:cs="Arial"/>
        </w:rPr>
        <w:t xml:space="preserve"> — names an agent to make medical decisions when you cannot.</w:t>
      </w:r>
    </w:p>
    <w:p w14:paraId="21B46A07" w14:textId="00448E39"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Living Will / Advance Directive</w:t>
      </w:r>
      <w:r w:rsidRPr="74BA1F49">
        <w:rPr>
          <w:rFonts w:ascii="Arial" w:eastAsia="Arial" w:hAnsi="Arial" w:cs="Arial"/>
        </w:rPr>
        <w:t xml:space="preserve"> — states your end-of-life care wishes, including life support and resuscitation.</w:t>
      </w:r>
    </w:p>
    <w:p w14:paraId="21545B7F" w14:textId="5124887A"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HIPAA Authorization</w:t>
      </w:r>
      <w:r w:rsidRPr="74BA1F49">
        <w:rPr>
          <w:rFonts w:ascii="Arial" w:eastAsia="Arial" w:hAnsi="Arial" w:cs="Arial"/>
        </w:rPr>
        <w:t xml:space="preserve"> — lets named individuals access your medical information and records.</w:t>
      </w:r>
    </w:p>
    <w:p w14:paraId="3C46DF85" w14:textId="5A8E21D3" w:rsidR="008A4475" w:rsidRPr="00E37AC6" w:rsidRDefault="008A4475" w:rsidP="74BA1F49">
      <w:pPr>
        <w:pStyle w:val="Heading2"/>
        <w:rPr>
          <w:rFonts w:ascii="Arial" w:eastAsia="Arial" w:hAnsi="Arial" w:cs="Arial"/>
        </w:rPr>
      </w:pPr>
      <w:r w:rsidRPr="74BA1F49">
        <w:rPr>
          <w:rFonts w:ascii="Arial" w:eastAsia="Arial" w:hAnsi="Arial" w:cs="Arial"/>
        </w:rPr>
        <w:t>Wills and Trusts</w:t>
      </w:r>
    </w:p>
    <w:p w14:paraId="05F9B6A1" w14:textId="7E03239B"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 xml:space="preserve">Last Will and </w:t>
      </w:r>
      <w:proofErr w:type="gramStart"/>
      <w:r w:rsidRPr="74BA1F49">
        <w:rPr>
          <w:rFonts w:ascii="Arial" w:eastAsia="Arial" w:hAnsi="Arial" w:cs="Arial"/>
          <w:b/>
          <w:bCs/>
        </w:rPr>
        <w:t>Testament:</w:t>
      </w:r>
      <w:proofErr w:type="gramEnd"/>
      <w:r w:rsidRPr="74BA1F49">
        <w:rPr>
          <w:rFonts w:ascii="Arial" w:eastAsia="Arial" w:hAnsi="Arial" w:cs="Arial"/>
        </w:rPr>
        <w:t xml:space="preserve"> directs distribution of assets in your name alone, names an executor and guardians for minor children, takes effect only at death, must go through probate, and becomes a public record.</w:t>
      </w:r>
    </w:p>
    <w:p w14:paraId="57DFF2A3" w14:textId="49790713"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 xml:space="preserve">Living </w:t>
      </w:r>
      <w:proofErr w:type="gramStart"/>
      <w:r w:rsidRPr="74BA1F49">
        <w:rPr>
          <w:rFonts w:ascii="Arial" w:eastAsia="Arial" w:hAnsi="Arial" w:cs="Arial"/>
          <w:b/>
          <w:bCs/>
        </w:rPr>
        <w:t>Trust:</w:t>
      </w:r>
      <w:proofErr w:type="gramEnd"/>
      <w:r w:rsidRPr="74BA1F49">
        <w:rPr>
          <w:rFonts w:ascii="Arial" w:eastAsia="Arial" w:hAnsi="Arial" w:cs="Arial"/>
        </w:rPr>
        <w:t xml:space="preserve"> holds assets you transfer ("fund") into it, is managed by you or a trustee, is effective immediately (including during incapacity), passes assets outside probate, and remains private.</w:t>
      </w:r>
    </w:p>
    <w:p w14:paraId="456C413D" w14:textId="54618BE5" w:rsidR="008A4475" w:rsidRPr="00E37AC6" w:rsidRDefault="008A4475" w:rsidP="74BA1F49">
      <w:pPr>
        <w:rPr>
          <w:rFonts w:ascii="Arial" w:eastAsia="Arial" w:hAnsi="Arial" w:cs="Arial"/>
        </w:rPr>
      </w:pPr>
      <w:r w:rsidRPr="74BA1F49">
        <w:rPr>
          <w:rFonts w:ascii="Arial" w:eastAsia="Arial" w:hAnsi="Arial" w:cs="Arial"/>
        </w:rPr>
        <w:lastRenderedPageBreak/>
        <w:t>Common types of trusts:</w:t>
      </w:r>
    </w:p>
    <w:p w14:paraId="650F9BD2" w14:textId="1C04A7D7"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Revocable Living Trust</w:t>
      </w:r>
      <w:r w:rsidRPr="74BA1F49">
        <w:rPr>
          <w:rFonts w:ascii="Arial" w:eastAsia="Arial" w:hAnsi="Arial" w:cs="Arial"/>
        </w:rPr>
        <w:t xml:space="preserve"> — amendable during life; avoids probate; you keep full control as trustee.</w:t>
      </w:r>
    </w:p>
    <w:p w14:paraId="22D9BF40" w14:textId="713E8196"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Irrevocable Grantor Trust</w:t>
      </w:r>
      <w:r w:rsidRPr="74BA1F49">
        <w:rPr>
          <w:rFonts w:ascii="Arial" w:eastAsia="Arial" w:hAnsi="Arial" w:cs="Arial"/>
        </w:rPr>
        <w:t xml:space="preserve"> — used for Medicaid planning.</w:t>
      </w:r>
    </w:p>
    <w:p w14:paraId="168ACCAD" w14:textId="787617A7"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Testamentary Trust</w:t>
      </w:r>
      <w:r w:rsidRPr="74BA1F49">
        <w:rPr>
          <w:rFonts w:ascii="Arial" w:eastAsia="Arial" w:hAnsi="Arial" w:cs="Arial"/>
        </w:rPr>
        <w:t xml:space="preserve"> — created within a will; funded only after death and probate.</w:t>
      </w:r>
    </w:p>
    <w:p w14:paraId="65DAB4D4" w14:textId="56293688"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Special Needs Trust</w:t>
      </w:r>
      <w:r w:rsidRPr="74BA1F49">
        <w:rPr>
          <w:rFonts w:ascii="Arial" w:eastAsia="Arial" w:hAnsi="Arial" w:cs="Arial"/>
        </w:rPr>
        <w:t xml:space="preserve"> — provides for a disabled beneficiary without jeopardizing means-tested government benefits.</w:t>
      </w:r>
    </w:p>
    <w:p w14:paraId="12581AC3" w14:textId="232D7985" w:rsidR="008A4475" w:rsidRPr="00E37AC6" w:rsidRDefault="008A4475" w:rsidP="74BA1F49">
      <w:pPr>
        <w:pStyle w:val="Heading2"/>
        <w:rPr>
          <w:rFonts w:ascii="Arial" w:eastAsia="Arial" w:hAnsi="Arial" w:cs="Arial"/>
        </w:rPr>
      </w:pPr>
      <w:r w:rsidRPr="74BA1F49">
        <w:rPr>
          <w:rFonts w:ascii="Arial" w:eastAsia="Arial" w:hAnsi="Arial" w:cs="Arial"/>
        </w:rPr>
        <w:t>Probate Basics</w:t>
      </w:r>
    </w:p>
    <w:p w14:paraId="590753F9" w14:textId="56885481" w:rsidR="008A4475" w:rsidRPr="00E37AC6" w:rsidRDefault="008A4475" w:rsidP="74BA1F49">
      <w:pPr>
        <w:rPr>
          <w:rFonts w:ascii="Arial" w:eastAsia="Arial" w:hAnsi="Arial" w:cs="Arial"/>
        </w:rPr>
      </w:pPr>
      <w:r w:rsidRPr="74BA1F49">
        <w:rPr>
          <w:rFonts w:ascii="Arial" w:eastAsia="Arial" w:hAnsi="Arial" w:cs="Arial"/>
        </w:rPr>
        <w:t>Probate is the court-supervised process of validating a will and settling an estate: (1) file the petition, (2) notify creditors and heirs, (3) inventory and appraise assets, (4) pay debts, expenses, and taxes, (5) distribute remaining assets, and (6) close the estate after final accounting. Should you avoid it? It depends. More complicated estates should consider trust planning.</w:t>
      </w:r>
    </w:p>
    <w:p w14:paraId="092D6CF3" w14:textId="028D1B3B" w:rsidR="008A4475" w:rsidRPr="00E37AC6" w:rsidRDefault="008A4475" w:rsidP="74BA1F49">
      <w:pPr>
        <w:pStyle w:val="Heading2"/>
        <w:rPr>
          <w:rFonts w:ascii="Arial" w:eastAsia="Arial" w:hAnsi="Arial" w:cs="Arial"/>
        </w:rPr>
      </w:pPr>
      <w:r w:rsidRPr="74BA1F49">
        <w:rPr>
          <w:rFonts w:ascii="Arial" w:eastAsia="Arial" w:hAnsi="Arial" w:cs="Arial"/>
        </w:rPr>
        <w:t>Estate &amp; Gift Taxes vs. Medicaid Planning (2026)</w:t>
      </w:r>
    </w:p>
    <w:p w14:paraId="2EB95290" w14:textId="487FA6A5"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$15 million</w:t>
      </w:r>
      <w:r w:rsidRPr="74BA1F49">
        <w:rPr>
          <w:rFonts w:ascii="Arial" w:eastAsia="Arial" w:hAnsi="Arial" w:cs="Arial"/>
        </w:rPr>
        <w:t xml:space="preserve"> — federal estate and gift tax exemption per individual ($30 million for a married couple with portability).</w:t>
      </w:r>
    </w:p>
    <w:p w14:paraId="16A11F34" w14:textId="05C59176"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$19,000</w:t>
      </w:r>
      <w:r w:rsidRPr="74BA1F49">
        <w:rPr>
          <w:rFonts w:ascii="Arial" w:eastAsia="Arial" w:hAnsi="Arial" w:cs="Arial"/>
        </w:rPr>
        <w:t xml:space="preserve"> — annual gift tax exclusion per recipient.</w:t>
      </w:r>
    </w:p>
    <w:p w14:paraId="3E36CCE8" w14:textId="3F077C5A"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Portability</w:t>
      </w:r>
      <w:r w:rsidRPr="74BA1F49">
        <w:rPr>
          <w:rFonts w:ascii="Arial" w:eastAsia="Arial" w:hAnsi="Arial" w:cs="Arial"/>
        </w:rPr>
        <w:t xml:space="preserve"> — lets a surviving spouse use a deceased spouse's unused exemption if timely elected.</w:t>
      </w:r>
    </w:p>
    <w:p w14:paraId="575FB0E7" w14:textId="4ECB9C54"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State taxes</w:t>
      </w:r>
      <w:r w:rsidRPr="74BA1F49">
        <w:rPr>
          <w:rFonts w:ascii="Arial" w:eastAsia="Arial" w:hAnsi="Arial" w:cs="Arial"/>
        </w:rPr>
        <w:t xml:space="preserve"> — state estate or inheritance taxes may apply at much lower thresholds; check state law.</w:t>
      </w:r>
    </w:p>
    <w:p w14:paraId="0D1278D8" w14:textId="134B22D7"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Medicaid caution</w:t>
      </w:r>
      <w:r w:rsidRPr="74BA1F49">
        <w:rPr>
          <w:rFonts w:ascii="Arial" w:eastAsia="Arial" w:hAnsi="Arial" w:cs="Arial"/>
        </w:rPr>
        <w:t xml:space="preserve"> — Medicaid (long-term care) follows separate state rules. Gifts that help with tax planning can trigger a 5-year look-back and a penalty period. Medicaid planning requires early action (typically irrevocable trusts) and is relevant to most families regardless of estate size.</w:t>
      </w:r>
    </w:p>
    <w:p w14:paraId="18B2B1AA" w14:textId="64A9AE64" w:rsidR="008A4475" w:rsidRPr="00E37AC6" w:rsidRDefault="008A4475" w:rsidP="74BA1F49">
      <w:pPr>
        <w:pStyle w:val="Heading2"/>
        <w:rPr>
          <w:rFonts w:ascii="Arial" w:eastAsia="Arial" w:hAnsi="Arial" w:cs="Arial"/>
        </w:rPr>
      </w:pPr>
      <w:r w:rsidRPr="74BA1F49">
        <w:rPr>
          <w:rFonts w:ascii="Arial" w:eastAsia="Arial" w:hAnsi="Arial" w:cs="Arial"/>
        </w:rPr>
        <w:t>Planning for Major Life Events</w:t>
      </w:r>
    </w:p>
    <w:p w14:paraId="1A568D45" w14:textId="1BDD092C" w:rsidR="008A4475" w:rsidRPr="00E37AC6" w:rsidRDefault="008A4475" w:rsidP="74BA1F49">
      <w:pPr>
        <w:rPr>
          <w:rFonts w:ascii="Arial" w:eastAsia="Arial" w:hAnsi="Arial" w:cs="Arial"/>
        </w:rPr>
      </w:pPr>
      <w:r w:rsidRPr="74BA1F49">
        <w:rPr>
          <w:rFonts w:ascii="Arial" w:eastAsia="Arial" w:hAnsi="Arial" w:cs="Arial"/>
        </w:rPr>
        <w:t>Revisit your estate plan after any of these:</w:t>
      </w:r>
    </w:p>
    <w:p w14:paraId="057640A0" w14:textId="2B15C698"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Marriage or remarriage</w:t>
      </w:r>
      <w:r w:rsidRPr="74BA1F49">
        <w:rPr>
          <w:rFonts w:ascii="Arial" w:eastAsia="Arial" w:hAnsi="Arial" w:cs="Arial"/>
        </w:rPr>
        <w:t xml:space="preserve"> — update beneficiaries; consider a prenup and blended-family trust planning.</w:t>
      </w:r>
    </w:p>
    <w:p w14:paraId="2499E237" w14:textId="29B1FF05"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Divorce or separation</w:t>
      </w:r>
      <w:r w:rsidRPr="74BA1F49">
        <w:rPr>
          <w:rFonts w:ascii="Arial" w:eastAsia="Arial" w:hAnsi="Arial" w:cs="Arial"/>
        </w:rPr>
        <w:t xml:space="preserve"> — revoke POAs naming an ex-spouse; retitle assets; update your will and trust.</w:t>
      </w:r>
    </w:p>
    <w:p w14:paraId="3E881246" w14:textId="0A2223FA"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Birth or adoption</w:t>
      </w:r>
      <w:r w:rsidRPr="74BA1F49">
        <w:rPr>
          <w:rFonts w:ascii="Arial" w:eastAsia="Arial" w:hAnsi="Arial" w:cs="Arial"/>
        </w:rPr>
        <w:t xml:space="preserve"> — name a guardian and </w:t>
      </w:r>
      <w:proofErr w:type="gramStart"/>
      <w:r w:rsidRPr="74BA1F49">
        <w:rPr>
          <w:rFonts w:ascii="Arial" w:eastAsia="Arial" w:hAnsi="Arial" w:cs="Arial"/>
        </w:rPr>
        <w:t>set</w:t>
      </w:r>
      <w:proofErr w:type="gramEnd"/>
      <w:r w:rsidRPr="74BA1F49">
        <w:rPr>
          <w:rFonts w:ascii="Arial" w:eastAsia="Arial" w:hAnsi="Arial" w:cs="Arial"/>
        </w:rPr>
        <w:t xml:space="preserve"> up </w:t>
      </w:r>
      <w:proofErr w:type="gramStart"/>
      <w:r w:rsidRPr="74BA1F49">
        <w:rPr>
          <w:rFonts w:ascii="Arial" w:eastAsia="Arial" w:hAnsi="Arial" w:cs="Arial"/>
        </w:rPr>
        <w:t>a trust</w:t>
      </w:r>
      <w:proofErr w:type="gramEnd"/>
      <w:r w:rsidRPr="74BA1F49">
        <w:rPr>
          <w:rFonts w:ascii="Arial" w:eastAsia="Arial" w:hAnsi="Arial" w:cs="Arial"/>
        </w:rPr>
        <w:t xml:space="preserve"> for minors.</w:t>
      </w:r>
    </w:p>
    <w:p w14:paraId="0531ED69" w14:textId="1F263AB9"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Death of a spouse or heir</w:t>
      </w:r>
      <w:r w:rsidRPr="74BA1F49">
        <w:rPr>
          <w:rFonts w:ascii="Arial" w:eastAsia="Arial" w:hAnsi="Arial" w:cs="Arial"/>
        </w:rPr>
        <w:t xml:space="preserve"> — update the plan, retitle joint assets, and revisit tax elections like portability.</w:t>
      </w:r>
    </w:p>
    <w:p w14:paraId="676D90C9" w14:textId="276BB081"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Starting or selling a business</w:t>
      </w:r>
      <w:r w:rsidRPr="74BA1F49">
        <w:rPr>
          <w:rFonts w:ascii="Arial" w:eastAsia="Arial" w:hAnsi="Arial" w:cs="Arial"/>
        </w:rPr>
        <w:t xml:space="preserve"> — add succession planning and buy-sell agreements.</w:t>
      </w:r>
    </w:p>
    <w:p w14:paraId="71585F56" w14:textId="17FB3E87"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Moving to a new state</w:t>
      </w:r>
      <w:r w:rsidRPr="74BA1F49">
        <w:rPr>
          <w:rFonts w:ascii="Arial" w:eastAsia="Arial" w:hAnsi="Arial" w:cs="Arial"/>
        </w:rPr>
        <w:t xml:space="preserve"> — re-review documents; rules vary significantly by state.</w:t>
      </w:r>
    </w:p>
    <w:p w14:paraId="664E4ACB" w14:textId="7E1E0697" w:rsidR="008A4475" w:rsidRPr="00E37AC6" w:rsidRDefault="008A4475" w:rsidP="74BA1F49">
      <w:pPr>
        <w:pStyle w:val="Heading2"/>
        <w:rPr>
          <w:rFonts w:ascii="Arial" w:eastAsia="Arial" w:hAnsi="Arial" w:cs="Arial"/>
        </w:rPr>
      </w:pPr>
      <w:r w:rsidRPr="74BA1F49">
        <w:rPr>
          <w:rFonts w:ascii="Arial" w:eastAsia="Arial" w:hAnsi="Arial" w:cs="Arial"/>
        </w:rPr>
        <w:t>Digital Assets &amp; Online Accounts</w:t>
      </w:r>
    </w:p>
    <w:p w14:paraId="649844F5" w14:textId="7F13CA77" w:rsidR="008A4475" w:rsidRPr="00E37AC6" w:rsidRDefault="008A4475" w:rsidP="74BA1F49">
      <w:pPr>
        <w:rPr>
          <w:rFonts w:ascii="Arial" w:eastAsia="Arial" w:hAnsi="Arial" w:cs="Arial"/>
        </w:rPr>
      </w:pPr>
      <w:r w:rsidRPr="74BA1F49">
        <w:rPr>
          <w:rFonts w:ascii="Arial" w:eastAsia="Arial" w:hAnsi="Arial" w:cs="Arial"/>
        </w:rPr>
        <w:t>Digital assets include email, social media, and cloud accounts; cryptocurrency and NFT wallets; online banking and payment accounts; stored photos and files; domain names and monetized content; and loyalty program balances. To protect them:</w:t>
      </w:r>
    </w:p>
    <w:p w14:paraId="409A4478" w14:textId="3A7D0421"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Include digital access clauses in all your documents</w:t>
      </w:r>
    </w:p>
    <w:p w14:paraId="794184C9" w14:textId="5FDA31DA"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Leave access instructions for your fiduciary</w:t>
      </w:r>
    </w:p>
    <w:p w14:paraId="61900103" w14:textId="796099B4"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Understand the law governing fiduciary access to digital accounts</w:t>
      </w:r>
    </w:p>
    <w:p w14:paraId="6C83C2CD" w14:textId="132096D4"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Use each platform's legacy tools (e.g., legacy contacts, inactive account managers)</w:t>
      </w:r>
    </w:p>
    <w:p w14:paraId="15D53633" w14:textId="4A14BF69"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List digital assets in your inventory of property</w:t>
      </w:r>
    </w:p>
    <w:p w14:paraId="2F8D0298" w14:textId="13D9E6B7" w:rsidR="008A4475" w:rsidRPr="00E37AC6" w:rsidRDefault="008A4475" w:rsidP="74BA1F49">
      <w:pPr>
        <w:pStyle w:val="ListBullet"/>
        <w:spacing w:before="40" w:after="40"/>
        <w:rPr>
          <w:rFonts w:ascii="Arial" w:eastAsia="Arial" w:hAnsi="Arial" w:cs="Arial"/>
        </w:rPr>
      </w:pPr>
      <w:r w:rsidRPr="74BA1F49">
        <w:rPr>
          <w:rFonts w:ascii="Arial" w:eastAsia="Arial" w:hAnsi="Arial" w:cs="Arial"/>
        </w:rPr>
        <w:t>Store crypto keys and recovery phrases securely and separately from your will</w:t>
      </w:r>
    </w:p>
    <w:p w14:paraId="4FA9404F" w14:textId="1A2E0FDB" w:rsidR="008A4475" w:rsidRPr="00E37AC6" w:rsidRDefault="008A4475" w:rsidP="74BA1F49">
      <w:pPr>
        <w:pStyle w:val="Heading2"/>
        <w:rPr>
          <w:rFonts w:ascii="Arial" w:eastAsia="Arial" w:hAnsi="Arial" w:cs="Arial"/>
        </w:rPr>
      </w:pPr>
      <w:r w:rsidRPr="74BA1F49">
        <w:rPr>
          <w:rFonts w:ascii="Arial" w:eastAsia="Arial" w:hAnsi="Arial" w:cs="Arial"/>
        </w:rPr>
        <w:t>Common Mistakes to Avoid</w:t>
      </w:r>
    </w:p>
    <w:p w14:paraId="2B14EE4B" w14:textId="1DF3011D"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No plan at all</w:t>
      </w:r>
      <w:r w:rsidRPr="74BA1F49">
        <w:rPr>
          <w:rFonts w:ascii="Arial" w:eastAsia="Arial" w:hAnsi="Arial" w:cs="Arial"/>
        </w:rPr>
        <w:t xml:space="preserve"> — dying "intestate" lets state law decide who inherits.</w:t>
      </w:r>
    </w:p>
    <w:p w14:paraId="5D0673AF" w14:textId="009EA86F"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Outdated beneficiaries</w:t>
      </w:r>
      <w:r w:rsidRPr="74BA1F49">
        <w:rPr>
          <w:rFonts w:ascii="Arial" w:eastAsia="Arial" w:hAnsi="Arial" w:cs="Arial"/>
        </w:rPr>
        <w:t xml:space="preserve"> — life insurance and retirement accounts pass by designation, overriding your will.</w:t>
      </w:r>
    </w:p>
    <w:p w14:paraId="5B90E281" w14:textId="55AF041C"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lastRenderedPageBreak/>
        <w:t>Unfunded trust</w:t>
      </w:r>
      <w:r w:rsidRPr="74BA1F49">
        <w:rPr>
          <w:rFonts w:ascii="Arial" w:eastAsia="Arial" w:hAnsi="Arial" w:cs="Arial"/>
        </w:rPr>
        <w:t xml:space="preserve"> — a living trust only avoids probate for assets </w:t>
      </w:r>
      <w:proofErr w:type="gramStart"/>
      <w:r w:rsidRPr="74BA1F49">
        <w:rPr>
          <w:rFonts w:ascii="Arial" w:eastAsia="Arial" w:hAnsi="Arial" w:cs="Arial"/>
        </w:rPr>
        <w:t>actually retitled</w:t>
      </w:r>
      <w:proofErr w:type="gramEnd"/>
      <w:r w:rsidRPr="74BA1F49">
        <w:rPr>
          <w:rFonts w:ascii="Arial" w:eastAsia="Arial" w:hAnsi="Arial" w:cs="Arial"/>
        </w:rPr>
        <w:t xml:space="preserve"> into it.</w:t>
      </w:r>
    </w:p>
    <w:p w14:paraId="604E5836" w14:textId="11F62178"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DIY documents</w:t>
      </w:r>
      <w:r w:rsidRPr="74BA1F49">
        <w:rPr>
          <w:rFonts w:ascii="Arial" w:eastAsia="Arial" w:hAnsi="Arial" w:cs="Arial"/>
        </w:rPr>
        <w:t xml:space="preserve"> — generic online forms often fail state-specific requirements.</w:t>
      </w:r>
    </w:p>
    <w:p w14:paraId="389AF84B" w14:textId="72951DF5" w:rsidR="008A4475" w:rsidRPr="00E37AC6" w:rsidRDefault="008A4475" w:rsidP="74BA1F49">
      <w:pPr>
        <w:pStyle w:val="ListBullet"/>
        <w:spacing w:before="40" w:after="40"/>
        <w:rPr>
          <w:rFonts w:ascii="Arial" w:eastAsia="Arial" w:hAnsi="Arial" w:cs="Arial"/>
        </w:rPr>
      </w:pPr>
      <w:r w:rsidRPr="74BA1F49">
        <w:rPr>
          <w:rFonts w:ascii="Arial" w:eastAsia="Arial" w:hAnsi="Arial" w:cs="Arial"/>
          <w:b/>
          <w:bCs/>
        </w:rPr>
        <w:t>Ignoring digital assets</w:t>
      </w:r>
      <w:r w:rsidRPr="74BA1F49">
        <w:rPr>
          <w:rFonts w:ascii="Arial" w:eastAsia="Arial" w:hAnsi="Arial" w:cs="Arial"/>
        </w:rPr>
        <w:t xml:space="preserve"> — accounts and crypto can be lost forever without access instructions.</w:t>
      </w:r>
    </w:p>
    <w:p w14:paraId="2C342592" w14:textId="3AD97A3F" w:rsidR="008A4475" w:rsidRPr="00E37AC6" w:rsidRDefault="008A4475" w:rsidP="74BA1F49">
      <w:pPr>
        <w:pStyle w:val="ListBullet"/>
        <w:spacing w:before="40" w:after="40"/>
        <w:rPr>
          <w:rFonts w:ascii="Arial" w:eastAsia="Arial" w:hAnsi="Arial" w:cs="Arial"/>
        </w:rPr>
      </w:pPr>
      <w:proofErr w:type="gramStart"/>
      <w:r w:rsidRPr="74BA1F49">
        <w:rPr>
          <w:rFonts w:ascii="Arial" w:eastAsia="Arial" w:hAnsi="Arial" w:cs="Arial"/>
          <w:b/>
          <w:bCs/>
        </w:rPr>
        <w:t>No</w:t>
      </w:r>
      <w:proofErr w:type="gramEnd"/>
      <w:r w:rsidRPr="74BA1F49">
        <w:rPr>
          <w:rFonts w:ascii="Arial" w:eastAsia="Arial" w:hAnsi="Arial" w:cs="Arial"/>
          <w:b/>
          <w:bCs/>
        </w:rPr>
        <w:t xml:space="preserve"> incapacity plan</w:t>
      </w:r>
      <w:r w:rsidRPr="74BA1F49">
        <w:rPr>
          <w:rFonts w:ascii="Arial" w:eastAsia="Arial" w:hAnsi="Arial" w:cs="Arial"/>
        </w:rPr>
        <w:t xml:space="preserve"> — without a POA, family may need costly court-supervised guardianship.</w:t>
      </w:r>
    </w:p>
    <w:p w14:paraId="67922116" w14:textId="66E412FB" w:rsidR="008A4475" w:rsidRPr="00214171" w:rsidRDefault="008A4475" w:rsidP="74BA1F49">
      <w:pPr>
        <w:rPr>
          <w:rFonts w:ascii="Arial" w:eastAsia="Arial" w:hAnsi="Arial" w:cs="Arial"/>
          <w:lang w:val="fr-FR"/>
        </w:rPr>
      </w:pPr>
      <w:r w:rsidRPr="00214171">
        <w:rPr>
          <w:rFonts w:ascii="Arial" w:eastAsia="Arial" w:hAnsi="Arial" w:cs="Arial"/>
          <w:lang w:val="fr-FR"/>
        </w:rPr>
        <w:t>Contact: james@jtbfirm.com  |  412-915-3923</w:t>
      </w:r>
    </w:p>
    <w:p w14:paraId="6C0C3B08" w14:textId="6E0854F5" w:rsidR="008A4475" w:rsidRPr="00214171" w:rsidRDefault="008A4475" w:rsidP="74BA1F49">
      <w:pPr>
        <w:rPr>
          <w:rFonts w:ascii="Arial" w:eastAsia="Arial" w:hAnsi="Arial" w:cs="Arial"/>
          <w:lang w:val="fr-FR"/>
        </w:rPr>
      </w:pPr>
    </w:p>
    <w:p w14:paraId="3598462F" w14:textId="22FB747C" w:rsidR="008A4475" w:rsidRPr="00214171" w:rsidRDefault="008A4475" w:rsidP="74BA1F49">
      <w:pPr>
        <w:rPr>
          <w:rFonts w:ascii="Arial" w:eastAsia="Arial" w:hAnsi="Arial" w:cs="Arial"/>
          <w:lang w:val="fr-FR"/>
        </w:rPr>
      </w:pPr>
    </w:p>
    <w:p w14:paraId="2DC95876" w14:textId="32E5C6E8" w:rsidR="008A4475" w:rsidRPr="00214171" w:rsidRDefault="471F5CF8" w:rsidP="74BA1F49">
      <w:pPr>
        <w:pStyle w:val="Heading1"/>
        <w:pBdr>
          <w:bottom w:val="single" w:sz="4" w:space="0" w:color="FFB81C"/>
        </w:pBdr>
        <w:rPr>
          <w:rFonts w:eastAsia="Arial"/>
          <w:lang w:val="fr-FR"/>
        </w:rPr>
      </w:pPr>
      <w:r w:rsidRPr="00214171">
        <w:rPr>
          <w:rFonts w:eastAsia="Arial"/>
          <w:lang w:val="fr-FR"/>
        </w:rPr>
        <w:t>7</w:t>
      </w:r>
      <w:r w:rsidR="008A4475" w:rsidRPr="00214171">
        <w:rPr>
          <w:rFonts w:eastAsia="Arial"/>
          <w:lang w:val="fr-FR"/>
        </w:rPr>
        <w:t>. Resources &amp; Contact Information</w:t>
      </w:r>
    </w:p>
    <w:p w14:paraId="2053631D" w14:textId="35542A67" w:rsidR="008A4475" w:rsidRPr="00E37AC6" w:rsidRDefault="008A4475" w:rsidP="74BA1F49">
      <w:pPr>
        <w:rPr>
          <w:rFonts w:ascii="Arial" w:eastAsia="Arial" w:hAnsi="Arial" w:cs="Arial"/>
        </w:rPr>
      </w:pPr>
      <w:r w:rsidRPr="74BA1F49">
        <w:rPr>
          <w:rFonts w:ascii="Arial" w:eastAsia="Arial" w:hAnsi="Arial" w:cs="Arial"/>
        </w:rPr>
        <w:t>Links below are available on the Office of Human Resources website (hr.pitt.edu).</w:t>
      </w:r>
    </w:p>
    <w:tbl>
      <w:tblPr>
        <w:tblW w:w="5000" w:type="pct"/>
        <w:tblBorders>
          <w:top w:val="single" w:sz="2" w:space="0" w:color="CCCCCC"/>
          <w:left w:val="single" w:sz="2" w:space="0" w:color="CCCCCC"/>
          <w:bottom w:val="single" w:sz="2" w:space="0" w:color="CCCCCC"/>
          <w:right w:val="single" w:sz="2" w:space="0" w:color="CCCCCC"/>
          <w:insideH w:val="single" w:sz="4" w:space="0" w:color="CCCCCC"/>
          <w:insideV w:val="single" w:sz="6" w:space="0" w:color="CCCCCC"/>
        </w:tblBorders>
        <w:tblCellMar>
          <w:left w:w="0" w:type="dxa"/>
          <w:right w:w="0" w:type="dxa"/>
        </w:tblCellMar>
        <w:tblLook w:val="04A0" w:firstRow="1" w:lastRow="0" w:firstColumn="1" w:lastColumn="0" w:noHBand="0" w:noVBand="1"/>
      </w:tblPr>
      <w:tblGrid>
        <w:gridCol w:w="3996"/>
        <w:gridCol w:w="6078"/>
      </w:tblGrid>
      <w:tr w:rsidR="008A4475" w:rsidRPr="00E37AC6" w14:paraId="2ECB670B" w14:textId="77777777" w:rsidTr="74BA1F49">
        <w:trPr>
          <w:tblHeader/>
        </w:trPr>
        <w:tc>
          <w:tcPr>
            <w:tcW w:w="3998" w:type="dxa"/>
            <w:shd w:val="clear" w:color="auto" w:fill="003594"/>
            <w:tcMar>
              <w:top w:w="60" w:type="dxa"/>
              <w:left w:w="120" w:type="dxa"/>
              <w:bottom w:w="60" w:type="dxa"/>
              <w:right w:w="120" w:type="dxa"/>
            </w:tcMar>
            <w:vAlign w:val="center"/>
          </w:tcPr>
          <w:p w14:paraId="3A0E0483" w14:textId="77777777" w:rsidR="008A4475" w:rsidRPr="00E37AC6" w:rsidRDefault="008A4475" w:rsidP="74BA1F49">
            <w:pPr>
              <w:rPr>
                <w:rFonts w:ascii="Arial" w:eastAsia="Arial" w:hAnsi="Arial" w:cs="Arial"/>
                <w:b/>
                <w:bCs/>
                <w:color w:val="FFFFFF"/>
                <w:sz w:val="19"/>
                <w:szCs w:val="19"/>
              </w:rPr>
            </w:pPr>
            <w:r w:rsidRPr="74BA1F49">
              <w:rPr>
                <w:rFonts w:ascii="Arial" w:eastAsia="Arial" w:hAnsi="Arial" w:cs="Arial"/>
                <w:b/>
                <w:bCs/>
                <w:color w:val="FFFFFF" w:themeColor="background1"/>
                <w:sz w:val="19"/>
                <w:szCs w:val="19"/>
              </w:rPr>
              <w:t>Contact</w:t>
            </w:r>
          </w:p>
        </w:tc>
        <w:tc>
          <w:tcPr>
            <w:tcW w:w="6082" w:type="dxa"/>
            <w:shd w:val="clear" w:color="auto" w:fill="003594"/>
            <w:tcMar>
              <w:top w:w="60" w:type="dxa"/>
              <w:left w:w="120" w:type="dxa"/>
              <w:bottom w:w="60" w:type="dxa"/>
              <w:right w:w="120" w:type="dxa"/>
            </w:tcMar>
            <w:vAlign w:val="center"/>
          </w:tcPr>
          <w:p w14:paraId="46CFD92D" w14:textId="77777777" w:rsidR="008A4475" w:rsidRPr="00E37AC6" w:rsidRDefault="008A4475" w:rsidP="74BA1F49">
            <w:pPr>
              <w:rPr>
                <w:rFonts w:ascii="Arial" w:eastAsia="Arial" w:hAnsi="Arial" w:cs="Arial"/>
                <w:b/>
                <w:bCs/>
                <w:color w:val="FFFFFF"/>
                <w:sz w:val="19"/>
                <w:szCs w:val="19"/>
              </w:rPr>
            </w:pPr>
            <w:r w:rsidRPr="74BA1F49">
              <w:rPr>
                <w:rFonts w:ascii="Arial" w:eastAsia="Arial" w:hAnsi="Arial" w:cs="Arial"/>
                <w:b/>
                <w:bCs/>
                <w:color w:val="FFFFFF" w:themeColor="background1"/>
                <w:sz w:val="19"/>
                <w:szCs w:val="19"/>
              </w:rPr>
              <w:t>Topic / Resource</w:t>
            </w:r>
          </w:p>
        </w:tc>
      </w:tr>
      <w:tr w:rsidR="008A4475" w:rsidRPr="00E37AC6" w14:paraId="49BDDC1D" w14:textId="77777777" w:rsidTr="74BA1F49">
        <w:tc>
          <w:tcPr>
            <w:tcW w:w="3998" w:type="dxa"/>
            <w:shd w:val="clear" w:color="auto" w:fill="D6E4F7"/>
            <w:tcMar>
              <w:top w:w="60" w:type="dxa"/>
              <w:left w:w="120" w:type="dxa"/>
              <w:bottom w:w="60" w:type="dxa"/>
              <w:right w:w="120" w:type="dxa"/>
            </w:tcMar>
          </w:tcPr>
          <w:p w14:paraId="4C3CE6B7"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OHR Benefits Department</w:t>
            </w:r>
          </w:p>
          <w:p w14:paraId="576BCC87"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833-852-2210 (Mon–Fri, 8:30 a.m.–5 p.m.)</w:t>
            </w:r>
          </w:p>
          <w:p w14:paraId="5D922CE9"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hr.pitt.edu/contact-ohr</w:t>
            </w:r>
          </w:p>
        </w:tc>
        <w:tc>
          <w:tcPr>
            <w:tcW w:w="6082" w:type="dxa"/>
            <w:shd w:val="clear" w:color="auto" w:fill="FFFFFF" w:themeFill="background1"/>
            <w:tcMar>
              <w:top w:w="60" w:type="dxa"/>
              <w:left w:w="120" w:type="dxa"/>
              <w:bottom w:w="60" w:type="dxa"/>
              <w:right w:w="120" w:type="dxa"/>
            </w:tcMar>
          </w:tcPr>
          <w:p w14:paraId="4BD1C6A1" w14:textId="77777777" w:rsidR="008A4475" w:rsidRPr="00E37AC6" w:rsidRDefault="008A4475" w:rsidP="74BA1F49">
            <w:pPr>
              <w:rPr>
                <w:rFonts w:ascii="Arial" w:eastAsia="Arial" w:hAnsi="Arial" w:cs="Arial"/>
                <w:sz w:val="19"/>
                <w:szCs w:val="19"/>
              </w:rPr>
            </w:pPr>
            <w:proofErr w:type="gramStart"/>
            <w:r w:rsidRPr="74BA1F49">
              <w:rPr>
                <w:rFonts w:ascii="Arial" w:eastAsia="Arial" w:hAnsi="Arial" w:cs="Arial"/>
                <w:sz w:val="19"/>
                <w:szCs w:val="19"/>
              </w:rPr>
              <w:t>Retirees</w:t>
            </w:r>
            <w:proofErr w:type="gramEnd"/>
            <w:r w:rsidRPr="74BA1F49">
              <w:rPr>
                <w:rFonts w:ascii="Arial" w:eastAsia="Arial" w:hAnsi="Arial" w:cs="Arial"/>
                <w:sz w:val="19"/>
                <w:szCs w:val="19"/>
              </w:rPr>
              <w:t xml:space="preserve"> main webpage; Steps Toward Retirement Checklist; Retiree Status Eligibility; Pre-65 and Post-65 Coverage; Defined Dollar Benefit Program; Beneficiary Rules</w:t>
            </w:r>
          </w:p>
        </w:tc>
      </w:tr>
      <w:tr w:rsidR="008A4475" w:rsidRPr="00E37AC6" w14:paraId="18EFA622" w14:textId="77777777" w:rsidTr="74BA1F49">
        <w:tc>
          <w:tcPr>
            <w:tcW w:w="3998" w:type="dxa"/>
            <w:shd w:val="clear" w:color="auto" w:fill="D6E4F7"/>
            <w:tcMar>
              <w:top w:w="60" w:type="dxa"/>
              <w:left w:w="120" w:type="dxa"/>
              <w:bottom w:w="60" w:type="dxa"/>
              <w:right w:w="120" w:type="dxa"/>
            </w:tcMar>
          </w:tcPr>
          <w:p w14:paraId="13B22545"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Securian Empathy Program</w:t>
            </w:r>
          </w:p>
          <w:p w14:paraId="344C8EA6"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720-903-4944 (Mon–Sat, 9 a.m.–8 p.m. EST; 24/7 chat)</w:t>
            </w:r>
          </w:p>
        </w:tc>
        <w:tc>
          <w:tcPr>
            <w:tcW w:w="6082" w:type="dxa"/>
            <w:shd w:val="clear" w:color="auto" w:fill="FFFFFF" w:themeFill="background1"/>
            <w:tcMar>
              <w:top w:w="60" w:type="dxa"/>
              <w:left w:w="120" w:type="dxa"/>
              <w:bottom w:w="60" w:type="dxa"/>
              <w:right w:w="120" w:type="dxa"/>
            </w:tcMar>
          </w:tcPr>
          <w:p w14:paraId="78095430"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Securian Microsite resources; join at join.empathy.com/Securian (access code: emp-securian)</w:t>
            </w:r>
          </w:p>
        </w:tc>
      </w:tr>
      <w:tr w:rsidR="008A4475" w:rsidRPr="00E37AC6" w14:paraId="788E7047" w14:textId="77777777" w:rsidTr="74BA1F49">
        <w:tc>
          <w:tcPr>
            <w:tcW w:w="3998" w:type="dxa"/>
            <w:shd w:val="clear" w:color="auto" w:fill="D6E4F7"/>
            <w:tcMar>
              <w:top w:w="60" w:type="dxa"/>
              <w:left w:w="120" w:type="dxa"/>
              <w:bottom w:w="60" w:type="dxa"/>
              <w:right w:w="120" w:type="dxa"/>
            </w:tcMar>
          </w:tcPr>
          <w:p w14:paraId="3CC52105"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MetLife Legal</w:t>
            </w:r>
          </w:p>
          <w:p w14:paraId="71909F45"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(elect as a new hire or during Open Enrollment)</w:t>
            </w:r>
          </w:p>
        </w:tc>
        <w:tc>
          <w:tcPr>
            <w:tcW w:w="6082" w:type="dxa"/>
            <w:shd w:val="clear" w:color="auto" w:fill="FFFFFF" w:themeFill="background1"/>
            <w:tcMar>
              <w:top w:w="60" w:type="dxa"/>
              <w:left w:w="120" w:type="dxa"/>
              <w:bottom w:w="60" w:type="dxa"/>
              <w:right w:w="120" w:type="dxa"/>
            </w:tcMar>
          </w:tcPr>
          <w:p w14:paraId="543B0DD4"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MetLife Legal Services page on the HR website</w:t>
            </w:r>
          </w:p>
        </w:tc>
      </w:tr>
      <w:tr w:rsidR="008A4475" w:rsidRPr="00E37AC6" w14:paraId="05BB5241" w14:textId="77777777" w:rsidTr="74BA1F49">
        <w:tc>
          <w:tcPr>
            <w:tcW w:w="3998" w:type="dxa"/>
            <w:shd w:val="clear" w:color="auto" w:fill="D6E4F7"/>
            <w:tcMar>
              <w:top w:w="60" w:type="dxa"/>
              <w:left w:w="120" w:type="dxa"/>
              <w:bottom w:w="60" w:type="dxa"/>
              <w:right w:w="120" w:type="dxa"/>
            </w:tcMar>
          </w:tcPr>
          <w:p w14:paraId="0B765413"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TIAA — Defined Contribution Plan</w:t>
            </w:r>
          </w:p>
          <w:p w14:paraId="55840F2E"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Pitt line: 800-682-9139 (Mon–Fri, 8 a.m.–10 p.m. ET)</w:t>
            </w:r>
          </w:p>
          <w:p w14:paraId="46472CFB"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Appointments: 800-732-8353</w:t>
            </w:r>
          </w:p>
        </w:tc>
        <w:tc>
          <w:tcPr>
            <w:tcW w:w="6082" w:type="dxa"/>
            <w:shd w:val="clear" w:color="auto" w:fill="FFFFFF" w:themeFill="background1"/>
            <w:tcMar>
              <w:top w:w="60" w:type="dxa"/>
              <w:left w:w="120" w:type="dxa"/>
              <w:bottom w:w="60" w:type="dxa"/>
              <w:right w:w="120" w:type="dxa"/>
            </w:tcMar>
          </w:tcPr>
          <w:p w14:paraId="339567C9"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Retirement Savings for Current Employees; TIAA's Pitt website; free meeting with a TIAA Financial Consultant</w:t>
            </w:r>
          </w:p>
        </w:tc>
      </w:tr>
      <w:tr w:rsidR="008A4475" w:rsidRPr="00E37AC6" w14:paraId="275E6556" w14:textId="77777777" w:rsidTr="74BA1F49">
        <w:tc>
          <w:tcPr>
            <w:tcW w:w="3998" w:type="dxa"/>
            <w:shd w:val="clear" w:color="auto" w:fill="D6E4F7"/>
            <w:tcMar>
              <w:top w:w="60" w:type="dxa"/>
              <w:left w:w="120" w:type="dxa"/>
              <w:bottom w:w="60" w:type="dxa"/>
              <w:right w:w="120" w:type="dxa"/>
            </w:tcMar>
          </w:tcPr>
          <w:p w14:paraId="7E4F3EFB"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University Pension Center</w:t>
            </w:r>
          </w:p>
          <w:p w14:paraId="41302C4D" w14:textId="77777777" w:rsidR="008A4475" w:rsidRPr="00E37AC6" w:rsidRDefault="008A4475" w:rsidP="74BA1F49">
            <w:pPr>
              <w:rPr>
                <w:rFonts w:ascii="Arial" w:eastAsia="Arial" w:hAnsi="Arial" w:cs="Arial"/>
                <w:b/>
                <w:bCs/>
                <w:color w:val="003594"/>
                <w:sz w:val="19"/>
                <w:szCs w:val="19"/>
              </w:rPr>
            </w:pPr>
            <w:r w:rsidRPr="74BA1F49">
              <w:rPr>
                <w:rFonts w:ascii="Arial" w:eastAsia="Arial" w:hAnsi="Arial" w:cs="Arial"/>
                <w:b/>
                <w:bCs/>
                <w:color w:val="003594"/>
                <w:sz w:val="19"/>
                <w:szCs w:val="19"/>
              </w:rPr>
              <w:t>866-283-0208 (8 a.m.–6 p.m. EST)</w:t>
            </w:r>
          </w:p>
        </w:tc>
        <w:tc>
          <w:tcPr>
            <w:tcW w:w="6082" w:type="dxa"/>
            <w:shd w:val="clear" w:color="auto" w:fill="FFFFFF" w:themeFill="background1"/>
            <w:tcMar>
              <w:top w:w="60" w:type="dxa"/>
              <w:left w:w="120" w:type="dxa"/>
              <w:bottom w:w="60" w:type="dxa"/>
              <w:right w:w="120" w:type="dxa"/>
            </w:tcMar>
          </w:tcPr>
          <w:p w14:paraId="70206F65" w14:textId="77777777" w:rsidR="008A4475" w:rsidRPr="00E37AC6" w:rsidRDefault="008A4475" w:rsidP="74BA1F49">
            <w:pPr>
              <w:rPr>
                <w:rFonts w:ascii="Arial" w:eastAsia="Arial" w:hAnsi="Arial" w:cs="Arial"/>
                <w:sz w:val="19"/>
                <w:szCs w:val="19"/>
              </w:rPr>
            </w:pPr>
            <w:r w:rsidRPr="74BA1F49">
              <w:rPr>
                <w:rFonts w:ascii="Arial" w:eastAsia="Arial" w:hAnsi="Arial" w:cs="Arial"/>
                <w:sz w:val="19"/>
                <w:szCs w:val="19"/>
              </w:rPr>
              <w:t>Noncontributory Defined Benefit Pension Plan (discontinued after 2015; grandfathered participants remain)</w:t>
            </w:r>
          </w:p>
        </w:tc>
      </w:tr>
    </w:tbl>
    <w:p w14:paraId="6B626097" w14:textId="3F3ABDC5" w:rsidR="008A4475" w:rsidRPr="00E37AC6" w:rsidRDefault="008A4475" w:rsidP="74BA1F49">
      <w:pPr>
        <w:pStyle w:val="Heading2"/>
        <w:rPr>
          <w:rFonts w:ascii="Arial" w:eastAsia="Arial" w:hAnsi="Arial" w:cs="Arial"/>
        </w:rPr>
      </w:pPr>
    </w:p>
    <w:p w14:paraId="528B0831" w14:textId="2CF15F65" w:rsidR="008A4475" w:rsidRDefault="008A4475" w:rsidP="74BA1F49">
      <w:pPr>
        <w:rPr>
          <w:rFonts w:ascii="Arial" w:eastAsia="Arial" w:hAnsi="Arial" w:cs="Arial"/>
        </w:rPr>
      </w:pPr>
    </w:p>
    <w:p w14:paraId="3AC62541" w14:textId="067DCEF2" w:rsidR="008A4475" w:rsidRPr="00E37AC6" w:rsidRDefault="2337C297" w:rsidP="74BA1F49">
      <w:pPr>
        <w:pStyle w:val="Heading1"/>
        <w:pBdr>
          <w:bottom w:val="single" w:sz="4" w:space="0" w:color="FFB81C"/>
        </w:pBdr>
        <w:rPr>
          <w:rFonts w:eastAsia="Arial"/>
        </w:rPr>
      </w:pPr>
      <w:r w:rsidRPr="74BA1F49">
        <w:rPr>
          <w:rFonts w:eastAsia="Arial"/>
        </w:rPr>
        <w:t>8</w:t>
      </w:r>
      <w:r w:rsidR="008A4475" w:rsidRPr="74BA1F49">
        <w:rPr>
          <w:rFonts w:eastAsia="Arial"/>
        </w:rPr>
        <w:t>. Disclosure</w:t>
      </w:r>
    </w:p>
    <w:p w14:paraId="5E900634" w14:textId="2E399E52" w:rsidR="008A4475" w:rsidRPr="00E37AC6" w:rsidRDefault="008A4475" w:rsidP="74BA1F49">
      <w:pPr>
        <w:spacing w:before="120" w:after="120"/>
        <w:rPr>
          <w:rFonts w:ascii="Arial" w:eastAsia="Arial" w:hAnsi="Arial" w:cs="Arial"/>
        </w:rPr>
      </w:pPr>
      <w:r w:rsidRPr="74BA1F49">
        <w:rPr>
          <w:rFonts w:ascii="Arial" w:eastAsia="Arial" w:hAnsi="Arial" w:cs="Arial"/>
        </w:rPr>
        <w:t xml:space="preserve">This guide provides a general overview of </w:t>
      </w:r>
      <w:proofErr w:type="gramStart"/>
      <w:r w:rsidRPr="74BA1F49">
        <w:rPr>
          <w:rFonts w:ascii="Arial" w:eastAsia="Arial" w:hAnsi="Arial" w:cs="Arial"/>
        </w:rPr>
        <w:t>University</w:t>
      </w:r>
      <w:proofErr w:type="gramEnd"/>
      <w:r w:rsidRPr="74BA1F49">
        <w:rPr>
          <w:rFonts w:ascii="Arial" w:eastAsia="Arial" w:hAnsi="Arial" w:cs="Arial"/>
        </w:rPr>
        <w:t xml:space="preserve"> benefit plans and related policies for educational purposes only. It does not replace or override official plan documents, University policies, established procedures, or carrier contracts, which govern in all cases. Benefits may be modified as required by law or as the University deems appropriate, and no one speaking on behalf of the plans has authority to modify their terms.</w:t>
      </w:r>
    </w:p>
    <w:p w14:paraId="564ADFB1" w14:textId="6B840DAD" w:rsidR="008A4475" w:rsidRPr="00E37AC6" w:rsidRDefault="008A4475" w:rsidP="74BA1F49">
      <w:pPr>
        <w:spacing w:before="120" w:after="120"/>
        <w:rPr>
          <w:rFonts w:ascii="Arial" w:eastAsia="Arial" w:hAnsi="Arial" w:cs="Arial"/>
        </w:rPr>
      </w:pPr>
      <w:r w:rsidRPr="74BA1F49">
        <w:rPr>
          <w:rFonts w:ascii="Arial" w:eastAsia="Arial" w:hAnsi="Arial" w:cs="Arial"/>
        </w:rPr>
        <w:t>Employees in a collective bargaining unit should refer to their collective bargaining agreement, which may include provisions that differ from or take precedence over this information. Additional details are available from the carriers, the Office of Human Resources, and hr.pitt.edu/current-employees/benefits.</w:t>
      </w:r>
    </w:p>
    <w:p w14:paraId="7F32629C" w14:textId="54303980" w:rsidR="00AD01C2" w:rsidRPr="00E37AC6" w:rsidRDefault="00AD01C2" w:rsidP="74BA1F49">
      <w:pPr>
        <w:spacing w:line="250" w:lineRule="auto"/>
        <w:rPr>
          <w:rFonts w:ascii="Arial" w:eastAsia="Arial" w:hAnsi="Arial" w:cs="Arial"/>
        </w:rPr>
      </w:pPr>
    </w:p>
    <w:sectPr w:rsidR="00AD01C2" w:rsidRPr="00E37AC6" w:rsidSect="00E37AC6">
      <w:headerReference w:type="even" r:id="rId10"/>
      <w:headerReference w:type="default" r:id="rId11"/>
      <w:footerReference w:type="even" r:id="rId12"/>
      <w:footerReference w:type="default" r:id="rId13"/>
      <w:headerReference w:type="first" r:id="rId14"/>
      <w:footerReference w:type="firs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712F4" w14:textId="77777777" w:rsidR="009E1387" w:rsidRDefault="009E1387" w:rsidP="00E37AC6">
      <w:pPr>
        <w:spacing w:after="0" w:line="240" w:lineRule="auto"/>
      </w:pPr>
      <w:r>
        <w:separator/>
      </w:r>
    </w:p>
  </w:endnote>
  <w:endnote w:type="continuationSeparator" w:id="0">
    <w:p w14:paraId="786B0882" w14:textId="77777777" w:rsidR="009E1387" w:rsidRDefault="009E1387" w:rsidP="00E37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A604" w14:textId="77777777" w:rsidR="00E37AC6" w:rsidRDefault="00E37A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BD32" w14:textId="77777777" w:rsidR="00E37AC6" w:rsidRDefault="00E37A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B86B" w14:textId="77777777" w:rsidR="00E37AC6" w:rsidRDefault="00E37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5EA35" w14:textId="77777777" w:rsidR="009E1387" w:rsidRDefault="009E1387" w:rsidP="00E37AC6">
      <w:pPr>
        <w:spacing w:after="0" w:line="240" w:lineRule="auto"/>
      </w:pPr>
      <w:r>
        <w:separator/>
      </w:r>
    </w:p>
  </w:footnote>
  <w:footnote w:type="continuationSeparator" w:id="0">
    <w:p w14:paraId="108A3FA5" w14:textId="77777777" w:rsidR="009E1387" w:rsidRDefault="009E1387" w:rsidP="00E37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4913" w14:textId="77777777" w:rsidR="00E37AC6" w:rsidRDefault="00E37A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44B8" w14:textId="77777777" w:rsidR="00E37AC6" w:rsidRDefault="00E37A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752A" w14:textId="77777777" w:rsidR="00E37AC6" w:rsidRDefault="00E37A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3964B0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A39E81C2"/>
    <w:lvl w:ilvl="0">
      <w:start w:val="1"/>
      <w:numFmt w:val="bullet"/>
      <w:pStyle w:val="ListBullet"/>
      <w:lvlText w:val=""/>
      <w:lvlJc w:val="left"/>
      <w:pPr>
        <w:tabs>
          <w:tab w:val="num" w:pos="360"/>
        </w:tabs>
        <w:ind w:left="360" w:hanging="360"/>
      </w:pPr>
      <w:rPr>
        <w:rFonts w:ascii="Symbol" w:hAnsi="Symbol" w:hint="default"/>
      </w:rPr>
    </w:lvl>
  </w:abstractNum>
  <w:num w:numId="1" w16cid:durableId="608850591">
    <w:abstractNumId w:val="1"/>
  </w:num>
  <w:num w:numId="2" w16cid:durableId="7947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AC6"/>
    <w:rsid w:val="00214171"/>
    <w:rsid w:val="002651EE"/>
    <w:rsid w:val="00424F50"/>
    <w:rsid w:val="00483C4C"/>
    <w:rsid w:val="006106A8"/>
    <w:rsid w:val="00855CC3"/>
    <w:rsid w:val="00880D47"/>
    <w:rsid w:val="008A4475"/>
    <w:rsid w:val="008F3791"/>
    <w:rsid w:val="009E1387"/>
    <w:rsid w:val="00AB21B6"/>
    <w:rsid w:val="00AD01C2"/>
    <w:rsid w:val="00B122D3"/>
    <w:rsid w:val="00BF02A8"/>
    <w:rsid w:val="00CA1043"/>
    <w:rsid w:val="00E37AC6"/>
    <w:rsid w:val="01141017"/>
    <w:rsid w:val="0310692D"/>
    <w:rsid w:val="2337C297"/>
    <w:rsid w:val="2F69F4E3"/>
    <w:rsid w:val="30A3818F"/>
    <w:rsid w:val="342E5421"/>
    <w:rsid w:val="471F5CF8"/>
    <w:rsid w:val="4CFD600F"/>
    <w:rsid w:val="4DE0CEC8"/>
    <w:rsid w:val="5FD231BE"/>
    <w:rsid w:val="63DA8094"/>
    <w:rsid w:val="74BA1F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9F1F3"/>
  <w15:chartTrackingRefBased/>
  <w15:docId w15:val="{9CB374AD-CD5C-4109-AA91-F265AF168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FD231BE"/>
    <w:pPr>
      <w:spacing w:before="60" w:after="60"/>
    </w:pPr>
    <w:rPr>
      <w:color w:val="333333"/>
      <w:sz w:val="20"/>
      <w:szCs w:val="20"/>
    </w:rPr>
  </w:style>
  <w:style w:type="paragraph" w:styleId="Heading1">
    <w:name w:val="heading 1"/>
    <w:basedOn w:val="Normal"/>
    <w:next w:val="Normal"/>
    <w:link w:val="Heading1Char"/>
    <w:uiPriority w:val="9"/>
    <w:qFormat/>
    <w:rsid w:val="5FD231BE"/>
    <w:pPr>
      <w:keepNext/>
      <w:keepLines/>
      <w:spacing w:before="360" w:after="120"/>
      <w:outlineLvl w:val="0"/>
    </w:pPr>
    <w:rPr>
      <w:rFonts w:ascii="Arial" w:eastAsiaTheme="majorEastAsia" w:hAnsi="Arial" w:cs="Arial"/>
      <w:b/>
      <w:bCs/>
      <w:color w:val="003594"/>
      <w:sz w:val="28"/>
      <w:szCs w:val="28"/>
    </w:rPr>
  </w:style>
  <w:style w:type="paragraph" w:styleId="Heading2">
    <w:name w:val="heading 2"/>
    <w:basedOn w:val="Normal"/>
    <w:next w:val="Normal"/>
    <w:link w:val="Heading2Char"/>
    <w:uiPriority w:val="9"/>
    <w:unhideWhenUsed/>
    <w:qFormat/>
    <w:rsid w:val="5FD231BE"/>
    <w:pPr>
      <w:keepNext/>
      <w:keepLines/>
      <w:spacing w:before="280" w:after="80"/>
      <w:outlineLvl w:val="1"/>
    </w:pPr>
    <w:rPr>
      <w:rFonts w:asciiTheme="majorHAnsi" w:eastAsiaTheme="majorEastAsia" w:hAnsiTheme="majorHAnsi" w:cstheme="majorBidi"/>
      <w:b/>
      <w:bCs/>
      <w:color w:val="003594"/>
      <w:sz w:val="24"/>
      <w:szCs w:val="24"/>
    </w:rPr>
  </w:style>
  <w:style w:type="paragraph" w:styleId="Heading3">
    <w:name w:val="heading 3"/>
    <w:basedOn w:val="Normal"/>
    <w:next w:val="Normal"/>
    <w:link w:val="Heading3Char"/>
    <w:uiPriority w:val="9"/>
    <w:unhideWhenUsed/>
    <w:qFormat/>
    <w:rsid w:val="5FD231BE"/>
    <w:pPr>
      <w:keepNext/>
      <w:keepLines/>
      <w:spacing w:before="200"/>
      <w:outlineLvl w:val="2"/>
    </w:pPr>
    <w:rPr>
      <w:rFonts w:ascii="Arial" w:eastAsiaTheme="majorEastAsia" w:hAnsi="Arial" w:cs="Arial"/>
      <w:b/>
      <w:bCs/>
      <w:color w:val="444444"/>
      <w:sz w:val="22"/>
      <w:szCs w:val="22"/>
    </w:rPr>
  </w:style>
  <w:style w:type="paragraph" w:styleId="Heading4">
    <w:name w:val="heading 4"/>
    <w:basedOn w:val="Normal"/>
    <w:next w:val="Normal"/>
    <w:link w:val="Heading4Char"/>
    <w:uiPriority w:val="9"/>
    <w:semiHidden/>
    <w:unhideWhenUsed/>
    <w:qFormat/>
    <w:rsid w:val="5FD231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5FD231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5FD231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5FD231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5FD231BE"/>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5FD231BE"/>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FD231BE"/>
    <w:rPr>
      <w:rFonts w:ascii="Arial" w:eastAsiaTheme="majorEastAsia" w:hAnsi="Arial" w:cs="Arial"/>
      <w:b/>
      <w:bCs/>
      <w:i w:val="0"/>
      <w:iCs w:val="0"/>
      <w:color w:val="003594"/>
      <w:sz w:val="28"/>
      <w:szCs w:val="28"/>
    </w:rPr>
  </w:style>
  <w:style w:type="character" w:customStyle="1" w:styleId="Heading2Char">
    <w:name w:val="Heading 2 Char"/>
    <w:basedOn w:val="DefaultParagraphFont"/>
    <w:link w:val="Heading2"/>
    <w:uiPriority w:val="9"/>
    <w:rsid w:val="5FD231BE"/>
    <w:rPr>
      <w:rFonts w:asciiTheme="majorHAnsi" w:eastAsiaTheme="majorEastAsia" w:hAnsiTheme="majorHAnsi" w:cstheme="majorBidi"/>
      <w:b/>
      <w:bCs/>
      <w:i w:val="0"/>
      <w:iCs w:val="0"/>
      <w:color w:val="003594"/>
      <w:sz w:val="24"/>
      <w:szCs w:val="24"/>
    </w:rPr>
  </w:style>
  <w:style w:type="character" w:customStyle="1" w:styleId="Heading3Char">
    <w:name w:val="Heading 3 Char"/>
    <w:basedOn w:val="DefaultParagraphFont"/>
    <w:link w:val="Heading3"/>
    <w:uiPriority w:val="9"/>
    <w:rsid w:val="5FD231BE"/>
    <w:rPr>
      <w:rFonts w:ascii="Arial" w:eastAsiaTheme="majorEastAsia" w:hAnsi="Arial" w:cs="Arial"/>
      <w:b/>
      <w:bCs/>
      <w:i w:val="0"/>
      <w:iCs w:val="0"/>
      <w:color w:val="444444"/>
      <w:sz w:val="22"/>
      <w:szCs w:val="22"/>
    </w:rPr>
  </w:style>
  <w:style w:type="character" w:customStyle="1" w:styleId="Heading4Char">
    <w:name w:val="Heading 4 Char"/>
    <w:basedOn w:val="DefaultParagraphFont"/>
    <w:link w:val="Heading4"/>
    <w:uiPriority w:val="9"/>
    <w:semiHidden/>
    <w:rsid w:val="00E37A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A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AC6"/>
    <w:rPr>
      <w:rFonts w:eastAsiaTheme="majorEastAsia" w:cstheme="majorBidi"/>
      <w:color w:val="272727" w:themeColor="text1" w:themeTint="D8"/>
    </w:rPr>
  </w:style>
  <w:style w:type="paragraph" w:styleId="Title">
    <w:name w:val="Title"/>
    <w:basedOn w:val="Normal"/>
    <w:next w:val="Normal"/>
    <w:link w:val="TitleChar"/>
    <w:uiPriority w:val="10"/>
    <w:qFormat/>
    <w:rsid w:val="5FD231BE"/>
    <w:pPr>
      <w:spacing w:before="0" w:after="80" w:line="240" w:lineRule="auto"/>
      <w:contextualSpacing/>
    </w:pPr>
    <w:rPr>
      <w:rFonts w:ascii="Arial" w:eastAsiaTheme="majorEastAsia" w:hAnsi="Arial" w:cs="Arial"/>
      <w:b/>
      <w:bCs/>
      <w:color w:val="003594"/>
      <w:sz w:val="36"/>
      <w:szCs w:val="36"/>
    </w:rPr>
  </w:style>
  <w:style w:type="character" w:customStyle="1" w:styleId="TitleChar">
    <w:name w:val="Title Char"/>
    <w:basedOn w:val="DefaultParagraphFont"/>
    <w:link w:val="Title"/>
    <w:uiPriority w:val="10"/>
    <w:rsid w:val="5FD231BE"/>
    <w:rPr>
      <w:rFonts w:ascii="Arial" w:eastAsiaTheme="majorEastAsia" w:hAnsi="Arial" w:cs="Arial"/>
      <w:b/>
      <w:bCs/>
      <w:i w:val="0"/>
      <w:iCs w:val="0"/>
      <w:color w:val="003594"/>
      <w:sz w:val="36"/>
      <w:szCs w:val="36"/>
    </w:rPr>
  </w:style>
  <w:style w:type="paragraph" w:styleId="Subtitle">
    <w:name w:val="Subtitle"/>
    <w:basedOn w:val="Normal"/>
    <w:next w:val="Normal"/>
    <w:link w:val="SubtitleChar"/>
    <w:uiPriority w:val="11"/>
    <w:qFormat/>
    <w:rsid w:val="5FD231BE"/>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37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5FD231BE"/>
    <w:pPr>
      <w:spacing w:before="160"/>
      <w:jc w:val="center"/>
    </w:pPr>
    <w:rPr>
      <w:i/>
      <w:iCs/>
      <w:color w:val="404040" w:themeColor="text1" w:themeTint="BF"/>
    </w:rPr>
  </w:style>
  <w:style w:type="character" w:customStyle="1" w:styleId="QuoteChar">
    <w:name w:val="Quote Char"/>
    <w:basedOn w:val="DefaultParagraphFont"/>
    <w:link w:val="Quote"/>
    <w:uiPriority w:val="29"/>
    <w:rsid w:val="00E37AC6"/>
    <w:rPr>
      <w:i/>
      <w:iCs/>
      <w:color w:val="404040" w:themeColor="text1" w:themeTint="BF"/>
    </w:rPr>
  </w:style>
  <w:style w:type="paragraph" w:styleId="ListParagraph">
    <w:name w:val="List Paragraph"/>
    <w:basedOn w:val="Normal"/>
    <w:uiPriority w:val="34"/>
    <w:qFormat/>
    <w:rsid w:val="5FD231BE"/>
    <w:pPr>
      <w:ind w:left="720"/>
      <w:contextualSpacing/>
    </w:pPr>
  </w:style>
  <w:style w:type="character" w:styleId="IntenseEmphasis">
    <w:name w:val="Intense Emphasis"/>
    <w:basedOn w:val="DefaultParagraphFont"/>
    <w:uiPriority w:val="21"/>
    <w:qFormat/>
    <w:rsid w:val="00E37AC6"/>
    <w:rPr>
      <w:i/>
      <w:iCs/>
      <w:color w:val="0F4761" w:themeColor="accent1" w:themeShade="BF"/>
    </w:rPr>
  </w:style>
  <w:style w:type="paragraph" w:styleId="IntenseQuote">
    <w:name w:val="Intense Quote"/>
    <w:basedOn w:val="Normal"/>
    <w:next w:val="Normal"/>
    <w:link w:val="IntenseQuoteChar"/>
    <w:uiPriority w:val="30"/>
    <w:qFormat/>
    <w:rsid w:val="5FD23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AC6"/>
    <w:rPr>
      <w:i/>
      <w:iCs/>
      <w:color w:val="0F4761" w:themeColor="accent1" w:themeShade="BF"/>
    </w:rPr>
  </w:style>
  <w:style w:type="character" w:styleId="IntenseReference">
    <w:name w:val="Intense Reference"/>
    <w:basedOn w:val="DefaultParagraphFont"/>
    <w:uiPriority w:val="32"/>
    <w:qFormat/>
    <w:rsid w:val="00E37AC6"/>
    <w:rPr>
      <w:b/>
      <w:bCs/>
      <w:smallCaps/>
      <w:color w:val="0F4761" w:themeColor="accent1" w:themeShade="BF"/>
      <w:spacing w:val="5"/>
    </w:rPr>
  </w:style>
  <w:style w:type="paragraph" w:styleId="Header">
    <w:name w:val="header"/>
    <w:basedOn w:val="Normal"/>
    <w:link w:val="HeaderChar"/>
    <w:uiPriority w:val="99"/>
    <w:unhideWhenUsed/>
    <w:rsid w:val="5FD23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AC6"/>
  </w:style>
  <w:style w:type="paragraph" w:styleId="Footer">
    <w:name w:val="footer"/>
    <w:basedOn w:val="Normal"/>
    <w:link w:val="FooterChar"/>
    <w:uiPriority w:val="99"/>
    <w:unhideWhenUsed/>
    <w:rsid w:val="5FD23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AC6"/>
  </w:style>
  <w:style w:type="paragraph" w:styleId="ListBullet">
    <w:name w:val="List Bullet"/>
    <w:basedOn w:val="Normal"/>
    <w:uiPriority w:val="99"/>
    <w:unhideWhenUsed/>
    <w:rsid w:val="5FD231BE"/>
    <w:pPr>
      <w:numPr>
        <w:numId w:val="1"/>
      </w:numPr>
      <w:contextualSpacing/>
    </w:pPr>
  </w:style>
  <w:style w:type="paragraph" w:styleId="ListNumber">
    <w:name w:val="List Number"/>
    <w:basedOn w:val="Normal"/>
    <w:uiPriority w:val="99"/>
    <w:unhideWhenUsed/>
    <w:rsid w:val="5FD231BE"/>
    <w:pPr>
      <w:numPr>
        <w:numId w:val="2"/>
      </w:numPr>
      <w:contextualSpacing/>
    </w:pPr>
  </w:style>
  <w:style w:type="table" w:styleId="TableGrid">
    <w:name w:val="Table Grid"/>
    <w:basedOn w:val="TableNormal"/>
    <w:uiPriority w:val="39"/>
    <w:rsid w:val="00E37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37AC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1"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FF347CC-8619-4924-A4E2-AAA64B2A64C9}">
  <we:reference id="WA200010725" version="1.0.0.1" store="Omex" storeType="OMEX"/>
  <we:alternateReferences>
    <we:reference id="WA200010725" version="1.0.0.1" store="WA200010725" storeType="OMEX"/>
  </we:alternateReferences>
  <we:properties>
    <we:property name="claude.fileId" value="&quot;6f92873a-9784-4825-b90e-4b3d728eb429&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8da842a0-bb5f-4ca7-a83d-ec63b186eaa7">
  <we:reference id="WA200010725" version="1.0.0.1" store="en-us" storeType="omex"/>
  <we:alternateReferences>
    <we:reference id="WA200010725" version="1.0.0.1" store="en-us" storeType="omex"/>
  </we:alternateReferences>
  <we:properties>
    <we:property name="claude.fileId" value="&quot;6f92873a-9784-4825-b90e-4b3d728eb42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e9b1da4-26b6-4b72-8bac-1602c3581ecc">
      <Terms xmlns="http://schemas.microsoft.com/office/infopath/2007/PartnerControls"/>
    </lcf76f155ced4ddcb4097134ff3c332f>
    <TaxCatchAll xmlns="3e608ed0-5213-4dc3-bbc4-302361dd3390"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C595752E20A64D93E946CD1C4D8FDA" ma:contentTypeVersion="18" ma:contentTypeDescription="Create a new document." ma:contentTypeScope="" ma:versionID="2c01b14d9dc9f5eb6f71ffda41303f6f">
  <xsd:schema xmlns:xsd="http://www.w3.org/2001/XMLSchema" xmlns:xs="http://www.w3.org/2001/XMLSchema" xmlns:p="http://schemas.microsoft.com/office/2006/metadata/properties" xmlns:ns1="http://schemas.microsoft.com/sharepoint/v3" xmlns:ns2="8e9b1da4-26b6-4b72-8bac-1602c3581ecc" xmlns:ns3="3e608ed0-5213-4dc3-bbc4-302361dd3390" targetNamespace="http://schemas.microsoft.com/office/2006/metadata/properties" ma:root="true" ma:fieldsID="8e373473df2f170f381332778765ec38" ns1:_="" ns2:_="" ns3:_="">
    <xsd:import namespace="http://schemas.microsoft.com/sharepoint/v3"/>
    <xsd:import namespace="8e9b1da4-26b6-4b72-8bac-1602c3581ecc"/>
    <xsd:import namespace="3e608ed0-5213-4dc3-bbc4-302361dd339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b1da4-26b6-4b72-8bac-1602c3581e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608ed0-5213-4dc3-bbc4-302361dd339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0dd669-e0f0-4338-bf57-4dd150712fdd}" ma:internalName="TaxCatchAll" ma:showField="CatchAllData" ma:web="3e608ed0-5213-4dc3-bbc4-302361dd33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EDDBC3-2D5F-4694-BAEB-7BA825EEC90E}">
  <ds:schemaRefs>
    <ds:schemaRef ds:uri="http://schemas.microsoft.com/sharepoint/v3/contenttype/forms"/>
  </ds:schemaRefs>
</ds:datastoreItem>
</file>

<file path=customXml/itemProps2.xml><?xml version="1.0" encoding="utf-8"?>
<ds:datastoreItem xmlns:ds="http://schemas.openxmlformats.org/officeDocument/2006/customXml" ds:itemID="{0F8DE15A-9A31-4320-8FAD-ACD5F994A9D1}">
  <ds:schemaRefs>
    <ds:schemaRef ds:uri="http://schemas.microsoft.com/office/2006/metadata/properties"/>
    <ds:schemaRef ds:uri="http://schemas.microsoft.com/office/infopath/2007/PartnerControls"/>
    <ds:schemaRef ds:uri="http://schemas.microsoft.com/sharepoint/v3"/>
    <ds:schemaRef ds:uri="8e9b1da4-26b6-4b72-8bac-1602c3581ecc"/>
    <ds:schemaRef ds:uri="3e608ed0-5213-4dc3-bbc4-302361dd3390"/>
  </ds:schemaRefs>
</ds:datastoreItem>
</file>

<file path=customXml/itemProps3.xml><?xml version="1.0" encoding="utf-8"?>
<ds:datastoreItem xmlns:ds="http://schemas.openxmlformats.org/officeDocument/2006/customXml" ds:itemID="{CD9D9071-F031-46AA-81D5-02C256FC5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b1da4-26b6-4b72-8bac-1602c3581ecc"/>
    <ds:schemaRef ds:uri="3e608ed0-5213-4dc3-bbc4-302361dd3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1920</Words>
  <Characters>10950</Characters>
  <Application>Microsoft Office Word</Application>
  <DocSecurity>0</DocSecurity>
  <Lines>91</Lines>
  <Paragraphs>25</Paragraphs>
  <ScaleCrop>false</ScaleCrop>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Session7_Retirement Readiness_Summary</dc:title>
  <dc:subject>Retirement Readiness</dc:subject>
  <dc:creator>University of Pittsburgh Office of Human Resources</dc:creator>
  <cp:keywords/>
  <dc:description/>
  <cp:lastModifiedBy>Zurowski, Laura P</cp:lastModifiedBy>
  <cp:revision>2</cp:revision>
  <cp:lastPrinted>2026-09-30T15:21:00Z</cp:lastPrinted>
  <dcterms:created xsi:type="dcterms:W3CDTF">2026-10-08T20:19:00Z</dcterms:created>
  <dcterms:modified xsi:type="dcterms:W3CDTF">2026-10-08T20:19:00Z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0x01010096C595752E20A64D93E946CD1C4D8FDA</vt:lpwstr>
  </property>
  <property fmtid="{D5CDD505-2E9C-101B-9397-08002B2CF9AE}" pid="3" name="MediaServiceImageTags">
    <vt:lpwstr/>
  </property>
</Properties>
</file>