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DECA2" w14:textId="77777777" w:rsidR="00951271" w:rsidRDefault="00951271" w:rsidP="4E0F5FAE">
      <w:pPr>
        <w:spacing w:line="260" w:lineRule="atLeast"/>
      </w:pPr>
      <w:r w:rsidRPr="00435D47">
        <w:rPr>
          <w:rFonts w:eastAsia="Arial"/>
          <w:color w:val="auto"/>
        </w:rPr>
        <w:t>Retirement Readiness Series</w:t>
      </w:r>
    </w:p>
    <w:p w14:paraId="489BCE4E" w14:textId="77777777" w:rsidR="00951271" w:rsidRDefault="00951271" w:rsidP="4E0F5FAE"/>
    <w:p w14:paraId="1C465CCE" w14:textId="77777777" w:rsidR="00951271" w:rsidRDefault="75BEA5E5" w:rsidP="6777AADB">
      <w:pPr>
        <w:pStyle w:val="Title"/>
        <w:rPr>
          <w:rFonts w:eastAsia="Arial"/>
        </w:rPr>
      </w:pPr>
      <w:r w:rsidRPr="2FE8C894">
        <w:rPr>
          <w:rFonts w:eastAsia="Arial"/>
        </w:rPr>
        <w:t>Retirement Readiness: Lifetime and Legacy Planning</w:t>
      </w:r>
    </w:p>
    <w:p w14:paraId="305512D5" w14:textId="77777777" w:rsidR="00951271" w:rsidRDefault="00951271" w:rsidP="000020A2">
      <w:pPr>
        <w:rPr>
          <w:color w:val="555555"/>
          <w:sz w:val="18"/>
        </w:rPr>
      </w:pPr>
      <w:r w:rsidRPr="000020A2">
        <w:rPr>
          <w:color w:val="555555"/>
          <w:sz w:val="18"/>
        </w:rPr>
        <w:t>Session materials: this session was not recorded. Sessions led by TIAA are not recorded and their slides are not shared, per TIAA policy. Series resources are posted at hr.pitt.edu/retirement-readiness.</w:t>
      </w:r>
    </w:p>
    <w:p w14:paraId="4AC047E0" w14:textId="77777777" w:rsidR="00951271" w:rsidRDefault="00951271" w:rsidP="000020A2">
      <w:pPr>
        <w:rPr>
          <w:color w:val="555555"/>
          <w:sz w:val="18"/>
        </w:rPr>
      </w:pPr>
      <w:r w:rsidRPr="000020A2">
        <w:rPr>
          <w:color w:val="555555"/>
          <w:sz w:val="18"/>
        </w:rPr>
        <w:t>This sheet summarizes the University portions of the deck. The TIAA guest presentation is described at a high level only and is not reproduced here.</w:t>
      </w:r>
    </w:p>
    <w:p w14:paraId="4D9235B0" w14:textId="77777777" w:rsidR="00951271" w:rsidRDefault="00951271"/>
    <w:p w14:paraId="7D228E8E" w14:textId="77777777" w:rsidR="00951271" w:rsidRDefault="00951271" w:rsidP="55B1E116">
      <w:pPr>
        <w:pStyle w:val="Heading1"/>
      </w:pPr>
      <w:r w:rsidRPr="4EECC805">
        <w:t xml:space="preserve">1. Session </w:t>
      </w:r>
      <w:proofErr w:type="gramStart"/>
      <w:r w:rsidRPr="4EECC805">
        <w:t>at a Glance</w:t>
      </w:r>
      <w:proofErr w:type="gramEnd"/>
    </w:p>
    <w:p w14:paraId="31C3D3D3" w14:textId="77777777" w:rsidR="00951271" w:rsidRDefault="00951271" w:rsidP="000020A2">
      <w:r w:rsidRPr="000020A2">
        <w:t>Session 6 of the Retirement Readiness series focused on planning for your own lifetime needs and the legacy you leave for loved ones, with an estate planning presentation from a TIAA wealth planning expert.</w:t>
      </w:r>
    </w:p>
    <w:p w14:paraId="40A21168" w14:textId="77777777" w:rsidR="00951271" w:rsidRDefault="00951271" w:rsidP="55B1E116">
      <w:pPr>
        <w:pStyle w:val="Heading2"/>
        <w:rPr>
          <w:rFonts w:eastAsia="Arial"/>
        </w:rPr>
      </w:pPr>
      <w:r w:rsidRPr="55B1E116">
        <w:rPr>
          <w:rFonts w:eastAsia="Arial"/>
        </w:rPr>
        <w:t>Itinerary</w:t>
      </w:r>
    </w:p>
    <w:p w14:paraId="24828EC3" w14:textId="77777777" w:rsidR="00951271" w:rsidRDefault="00951271" w:rsidP="00951271">
      <w:pPr>
        <w:pStyle w:val="ListBullet"/>
        <w:spacing w:before="40" w:after="40"/>
      </w:pPr>
      <w:r w:rsidRPr="000020A2">
        <w:t>Welcome &amp; Session Overview — OHR Benefits Department.</w:t>
      </w:r>
    </w:p>
    <w:p w14:paraId="3FAB895C" w14:textId="77777777" w:rsidR="00951271" w:rsidRDefault="00951271" w:rsidP="00951271">
      <w:pPr>
        <w:pStyle w:val="ListBullet"/>
        <w:spacing w:before="40" w:after="40"/>
      </w:pPr>
      <w:r w:rsidRPr="000020A2">
        <w:t>TIAA Guest Speaker — Common Estate Planning Considerations.</w:t>
      </w:r>
    </w:p>
    <w:p w14:paraId="32C162F1" w14:textId="77777777" w:rsidR="00951271" w:rsidRDefault="00951271" w:rsidP="00951271">
      <w:pPr>
        <w:pStyle w:val="ListBullet"/>
        <w:spacing w:before="40" w:after="40"/>
      </w:pPr>
      <w:r w:rsidRPr="000020A2">
        <w:t>Q&amp;A — submit questions at any time using the Q&amp;A feature on your screen.</w:t>
      </w:r>
    </w:p>
    <w:p w14:paraId="3FFD8D32" w14:textId="77777777" w:rsidR="00951271" w:rsidRDefault="00951271" w:rsidP="00951271">
      <w:pPr>
        <w:pStyle w:val="ListBullet"/>
        <w:spacing w:before="40" w:after="40"/>
      </w:pPr>
      <w:r w:rsidRPr="000020A2">
        <w:t>Wrap Up — next sessions, series resources, and how to reach the Benefits team.</w:t>
      </w:r>
    </w:p>
    <w:p w14:paraId="7D1E823D" w14:textId="77777777" w:rsidR="00951271" w:rsidRDefault="00951271" w:rsidP="55B1E116">
      <w:pPr>
        <w:pStyle w:val="Heading2"/>
        <w:rPr>
          <w:rFonts w:eastAsia="Arial"/>
        </w:rPr>
      </w:pPr>
      <w:r w:rsidRPr="55B1E116">
        <w:rPr>
          <w:rFonts w:eastAsia="Arial"/>
        </w:rPr>
        <w:t>Session team</w:t>
      </w:r>
    </w:p>
    <w:p w14:paraId="16775E84" w14:textId="77777777" w:rsidR="00951271" w:rsidRDefault="00951271" w:rsidP="00951271">
      <w:pPr>
        <w:pStyle w:val="ListBullet"/>
        <w:spacing w:before="40" w:after="40"/>
      </w:pPr>
      <w:r w:rsidRPr="000020A2">
        <w:t>Kate Young, Manager of Benefits, Health &amp; Welfare Benefits.</w:t>
      </w:r>
    </w:p>
    <w:p w14:paraId="7C71A745" w14:textId="77777777" w:rsidR="00951271" w:rsidRDefault="00951271" w:rsidP="00951271">
      <w:pPr>
        <w:pStyle w:val="ListBullet"/>
        <w:spacing w:before="40" w:after="40"/>
      </w:pPr>
      <w:r w:rsidRPr="000020A2">
        <w:t>Lindsey Bandison, Benefits Customer Support Supervisor (moderator) • Ana Frost, Benefits Analyst, Retirement Savings &amp; SAVI (moderator) • Tammy Weaver, Sr. Benefits Analyst, Retiree Benefits &amp; Life Insurance (moderator).</w:t>
      </w:r>
    </w:p>
    <w:p w14:paraId="2F2B008C" w14:textId="77777777" w:rsidR="00951271" w:rsidRDefault="00951271"/>
    <w:p w14:paraId="1FC0C5B7" w14:textId="77777777" w:rsidR="00951271" w:rsidRDefault="00951271" w:rsidP="55B1E116">
      <w:pPr>
        <w:pStyle w:val="Heading1"/>
      </w:pPr>
      <w:r>
        <w:t>2. Guest Speaker: Common Estate Planning Considerations</w:t>
      </w:r>
    </w:p>
    <w:p w14:paraId="416DC291" w14:textId="77777777" w:rsidR="00951271" w:rsidRDefault="00951271" w:rsidP="000020A2">
      <w:r w:rsidRPr="000020A2">
        <w:t>Presented by Theresa “Teri” Malmstrom, Director, Wealth Planning Strategies, TIAA.</w:t>
      </w:r>
    </w:p>
    <w:p w14:paraId="2ACDFA49" w14:textId="77777777" w:rsidR="00951271" w:rsidRDefault="00951271" w:rsidP="55B1E116">
      <w:pPr>
        <w:pStyle w:val="Heading2"/>
        <w:rPr>
          <w:rFonts w:eastAsia="Arial"/>
        </w:rPr>
      </w:pPr>
      <w:r w:rsidRPr="55B1E116">
        <w:rPr>
          <w:rFonts w:eastAsia="Arial"/>
        </w:rPr>
        <w:t>About the speaker</w:t>
      </w:r>
    </w:p>
    <w:p w14:paraId="3B07928B" w14:textId="77777777" w:rsidR="00951271" w:rsidRDefault="00951271" w:rsidP="00951271">
      <w:pPr>
        <w:pStyle w:val="ListBullet"/>
        <w:spacing w:before="40" w:after="40"/>
      </w:pPr>
      <w:r w:rsidRPr="000020A2">
        <w:t>Advises clients with complex estate and wealth planning needs and brings a tax and estate planning background; she is a former practicing estate attorney.</w:t>
      </w:r>
    </w:p>
    <w:p w14:paraId="2C8DB809" w14:textId="77777777" w:rsidR="00951271" w:rsidRDefault="00951271" w:rsidP="00951271">
      <w:pPr>
        <w:pStyle w:val="ListBullet"/>
        <w:spacing w:before="40" w:after="40"/>
      </w:pPr>
      <w:proofErr w:type="gramStart"/>
      <w:r w:rsidRPr="000020A2">
        <w:t>Helps</w:t>
      </w:r>
      <w:proofErr w:type="gramEnd"/>
      <w:r w:rsidRPr="000020A2">
        <w:t xml:space="preserve"> families clarify and prioritize their wealth transfer goals, then put the right strategies in place — such as wills, revocable and irrevocable trusts, gift and charitable trusts, and family limited partnerships — while keeping tax and administrative costs in check.</w:t>
      </w:r>
    </w:p>
    <w:p w14:paraId="53DA0D6E" w14:textId="77777777" w:rsidR="00951271" w:rsidRDefault="00951271" w:rsidP="00951271">
      <w:pPr>
        <w:pStyle w:val="ListBullet"/>
        <w:spacing w:before="40" w:after="40"/>
      </w:pPr>
      <w:r w:rsidRPr="000020A2">
        <w:t>Particularly passionate about charitable gifting strategies that create meaningful impact for both the client and the organizations they support.</w:t>
      </w:r>
    </w:p>
    <w:p w14:paraId="6F421ED5" w14:textId="77777777" w:rsidR="00951271" w:rsidRDefault="00951271" w:rsidP="00951271">
      <w:pPr>
        <w:pStyle w:val="ListBullet"/>
        <w:spacing w:before="40" w:after="40"/>
      </w:pPr>
      <w:r w:rsidRPr="000020A2">
        <w:t>Emphasizes ongoing plan review and close coordination with clients’ other advisors.</w:t>
      </w:r>
    </w:p>
    <w:p w14:paraId="56A5C478" w14:textId="77777777" w:rsidR="00951271" w:rsidRDefault="00951271" w:rsidP="00951271">
      <w:pPr>
        <w:pStyle w:val="ListBullet"/>
        <w:spacing w:before="40" w:after="40"/>
      </w:pPr>
      <w:r w:rsidRPr="000020A2">
        <w:t>Based in Pittsburgh and serving TIAA clients across the eastern U.S.; previously with PNC Private Bank and in private law practice. J.D., University of Pittsburgh School of Law; bachelor’s degree, University of Pennsylvania.</w:t>
      </w:r>
    </w:p>
    <w:p w14:paraId="306F096F" w14:textId="77777777" w:rsidR="00951271" w:rsidRDefault="00951271" w:rsidP="55B1E116">
      <w:pPr>
        <w:pStyle w:val="Heading2"/>
        <w:rPr>
          <w:rFonts w:eastAsia="Arial"/>
        </w:rPr>
      </w:pPr>
      <w:r w:rsidRPr="55B1E116">
        <w:rPr>
          <w:rFonts w:eastAsia="Arial"/>
        </w:rPr>
        <w:t>If you missed this segment</w:t>
      </w:r>
    </w:p>
    <w:p w14:paraId="2EC9B8FF" w14:textId="77777777" w:rsidR="00951271" w:rsidRDefault="00951271" w:rsidP="00951271">
      <w:pPr>
        <w:pStyle w:val="ListBullet"/>
        <w:spacing w:before="40" w:after="40"/>
      </w:pPr>
      <w:r w:rsidRPr="000020A2">
        <w:t>TIAA presentation content is not recorded or redistributed. Visit tiaa.org/webinars for TIAA’s webinar library.</w:t>
      </w:r>
    </w:p>
    <w:p w14:paraId="0BCAE808" w14:textId="77777777" w:rsidR="00951271" w:rsidRDefault="00951271" w:rsidP="00951271">
      <w:pPr>
        <w:pStyle w:val="ListBullet"/>
        <w:spacing w:before="40" w:after="40"/>
      </w:pPr>
      <w:r w:rsidRPr="000020A2">
        <w:lastRenderedPageBreak/>
        <w:t>Schedule a one-on-one appointment with a TIAA financial consultant to discuss your own estate and legacy planning questions.</w:t>
      </w:r>
    </w:p>
    <w:p w14:paraId="023422C6" w14:textId="77777777" w:rsidR="00951271" w:rsidRDefault="00951271" w:rsidP="00951271">
      <w:pPr>
        <w:pStyle w:val="ListBullet"/>
        <w:spacing w:before="40" w:after="40"/>
      </w:pPr>
      <w:r w:rsidRPr="000020A2">
        <w:t>Continue the topic at Session 7 (July 29), which covers estate planning and legal essentials — see Section 4.</w:t>
      </w:r>
    </w:p>
    <w:p w14:paraId="2526AB52" w14:textId="77777777" w:rsidR="00951271" w:rsidRDefault="00951271"/>
    <w:p w14:paraId="578734C5" w14:textId="77777777" w:rsidR="00951271" w:rsidRDefault="00951271" w:rsidP="55B1E116">
      <w:pPr>
        <w:pStyle w:val="Heading1"/>
      </w:pPr>
      <w:r>
        <w:t>3. Key Reminders from the Benefits Team</w:t>
      </w:r>
    </w:p>
    <w:p w14:paraId="79003B16" w14:textId="77777777" w:rsidR="00951271" w:rsidRDefault="00951271" w:rsidP="00951271">
      <w:pPr>
        <w:pStyle w:val="ListBullet"/>
        <w:spacing w:before="40" w:after="40"/>
      </w:pPr>
      <w:r w:rsidRPr="000020A2">
        <w:t xml:space="preserve">Start early. The most consistent feedback from current retirees is that they wish they had started planning sooner — wherever you are in your timeline, </w:t>
      </w:r>
      <w:proofErr w:type="gramStart"/>
      <w:r w:rsidRPr="000020A2">
        <w:t>give</w:t>
      </w:r>
      <w:proofErr w:type="gramEnd"/>
      <w:r w:rsidRPr="000020A2">
        <w:t xml:space="preserve"> yourself time.</w:t>
      </w:r>
    </w:p>
    <w:p w14:paraId="18E7ACD0" w14:textId="77777777" w:rsidR="00951271" w:rsidRDefault="00951271" w:rsidP="00951271">
      <w:pPr>
        <w:pStyle w:val="ListBullet"/>
        <w:spacing w:before="40" w:after="40"/>
      </w:pPr>
      <w:r w:rsidRPr="000020A2">
        <w:t>Eligibility reviews are reserved for employees retiring within the next six months, so every review gets the attention it deserves.</w:t>
      </w:r>
    </w:p>
    <w:p w14:paraId="0ADD57BF" w14:textId="77777777" w:rsidR="00951271" w:rsidRDefault="00951271" w:rsidP="00951271">
      <w:pPr>
        <w:pStyle w:val="ListBullet"/>
        <w:spacing w:before="40" w:after="40"/>
      </w:pPr>
      <w:r w:rsidRPr="000020A2">
        <w:t>Farther out than six months? Use the online retirement calculator — it is self-service, available any time, and useful for tracking your progress year over year.</w:t>
      </w:r>
    </w:p>
    <w:p w14:paraId="687BE5FE" w14:textId="77777777" w:rsidR="00951271" w:rsidRDefault="00951271" w:rsidP="00951271">
      <w:pPr>
        <w:pStyle w:val="ListBullet"/>
        <w:spacing w:before="40" w:after="40"/>
      </w:pPr>
      <w:r w:rsidRPr="000020A2">
        <w:t>Questions not answered live? Submit them through the Contact OHR form at hr.pitt.edu/contact-</w:t>
      </w:r>
      <w:proofErr w:type="spellStart"/>
      <w:r w:rsidRPr="000020A2">
        <w:t>ohr</w:t>
      </w:r>
      <w:proofErr w:type="spellEnd"/>
      <w:r w:rsidRPr="000020A2">
        <w:t xml:space="preserve"> and the Benefits team will follow up directly. The online form is the fastest route for non-urgent questions.</w:t>
      </w:r>
    </w:p>
    <w:p w14:paraId="74333689" w14:textId="77777777" w:rsidR="00951271" w:rsidRDefault="00951271"/>
    <w:p w14:paraId="6BC009DF" w14:textId="77777777" w:rsidR="00951271" w:rsidRDefault="00951271" w:rsidP="55B1E116">
      <w:pPr>
        <w:pStyle w:val="Heading1"/>
      </w:pPr>
      <w:r>
        <w:t>4. What’s Next: Upcoming Sessions</w:t>
      </w:r>
    </w:p>
    <w:p w14:paraId="4147A3A0" w14:textId="77777777" w:rsidR="00951271" w:rsidRDefault="00951271" w:rsidP="000020A2">
      <w:r w:rsidRPr="000020A2">
        <w:t>Register at hr.pitt.edu/retirement-readiness or through your Retirement Readiness Passport.</w:t>
      </w:r>
    </w:p>
    <w:p w14:paraId="745D1573" w14:textId="77777777" w:rsidR="00951271" w:rsidRDefault="00951271" w:rsidP="55B1E116">
      <w:pPr>
        <w:pStyle w:val="Heading2"/>
        <w:rPr>
          <w:rFonts w:eastAsia="Arial"/>
        </w:rPr>
      </w:pPr>
      <w:r w:rsidRPr="55B1E116">
        <w:rPr>
          <w:rFonts w:eastAsia="Arial"/>
        </w:rPr>
        <w:t>Session 7 — Wednesday, July 29, Noon – 1 p.m.</w:t>
      </w:r>
    </w:p>
    <w:p w14:paraId="320CE54C" w14:textId="77777777" w:rsidR="00951271" w:rsidRDefault="00951271" w:rsidP="00951271">
      <w:pPr>
        <w:pStyle w:val="ListBullet"/>
        <w:spacing w:before="40" w:after="40"/>
      </w:pPr>
      <w:r w:rsidRPr="000020A2">
        <w:t>“Protecting What You’ve Built: Estate Planning &amp; Legal Essentials” — safeguarding your assets and loved ones through smart estate planning.</w:t>
      </w:r>
    </w:p>
    <w:p w14:paraId="33C56CA7" w14:textId="77777777" w:rsidR="00951271" w:rsidRDefault="00951271" w:rsidP="00951271">
      <w:pPr>
        <w:pStyle w:val="ListBullet"/>
        <w:spacing w:before="40" w:after="40"/>
      </w:pPr>
      <w:r w:rsidRPr="000020A2">
        <w:t>Featuring Pitt Law Professor James Benedek. Live webinar (recorded).</w:t>
      </w:r>
    </w:p>
    <w:p w14:paraId="37E6068E" w14:textId="77777777" w:rsidR="00951271" w:rsidRDefault="00951271" w:rsidP="55B1E116">
      <w:pPr>
        <w:pStyle w:val="Heading2"/>
        <w:rPr>
          <w:rFonts w:eastAsia="Arial"/>
        </w:rPr>
      </w:pPr>
      <w:r w:rsidRPr="55B1E116">
        <w:rPr>
          <w:rFonts w:eastAsia="Arial"/>
        </w:rPr>
        <w:t>Session 8 — Tuesday, August 11, Noon – 1 p.m.</w:t>
      </w:r>
    </w:p>
    <w:p w14:paraId="0E963ECB" w14:textId="77777777" w:rsidR="00951271" w:rsidRDefault="00951271" w:rsidP="00951271">
      <w:pPr>
        <w:pStyle w:val="ListBullet"/>
        <w:spacing w:before="40" w:after="40"/>
      </w:pPr>
      <w:r w:rsidRPr="000020A2">
        <w:t>“Mindfulness &amp; Wellbeing in Retirement” — practical tools to manage stress, build mindful habits, and support lasting wellbeing in retirement.</w:t>
      </w:r>
    </w:p>
    <w:p w14:paraId="34F3B6FB" w14:textId="77777777" w:rsidR="00951271" w:rsidRDefault="00951271" w:rsidP="00951271">
      <w:pPr>
        <w:pStyle w:val="ListBullet"/>
        <w:spacing w:before="40" w:after="40"/>
      </w:pPr>
      <w:r w:rsidRPr="000020A2">
        <w:t xml:space="preserve">Featuring Jessie Love, UPMC </w:t>
      </w:r>
      <w:proofErr w:type="spellStart"/>
      <w:r w:rsidRPr="000020A2">
        <w:t>WorkPartners</w:t>
      </w:r>
      <w:proofErr w:type="spellEnd"/>
      <w:r w:rsidRPr="000020A2">
        <w:t>. Live webinar (recorded).</w:t>
      </w:r>
    </w:p>
    <w:p w14:paraId="04BF8EBC" w14:textId="77777777" w:rsidR="00951271" w:rsidRDefault="00951271" w:rsidP="55B1E116">
      <w:pPr>
        <w:pStyle w:val="Heading2"/>
        <w:rPr>
          <w:rFonts w:eastAsia="Arial"/>
        </w:rPr>
      </w:pPr>
      <w:r w:rsidRPr="55B1E116">
        <w:rPr>
          <w:rFonts w:eastAsia="Arial"/>
        </w:rPr>
        <w:t>Series tools</w:t>
      </w:r>
    </w:p>
    <w:p w14:paraId="43D363B7" w14:textId="77777777" w:rsidR="00951271" w:rsidRDefault="00951271" w:rsidP="00951271">
      <w:pPr>
        <w:pStyle w:val="ListBullet"/>
        <w:spacing w:before="40" w:after="40"/>
      </w:pPr>
      <w:r w:rsidRPr="000020A2">
        <w:t xml:space="preserve">Retirement Readiness webpage: hr.pitt.edu/retirement-readiness — the landing page for the full session schedule, flyers, registration, </w:t>
      </w:r>
      <w:proofErr w:type="gramStart"/>
      <w:r w:rsidRPr="000020A2">
        <w:t>the Passport</w:t>
      </w:r>
      <w:proofErr w:type="gramEnd"/>
      <w:r w:rsidRPr="000020A2">
        <w:t>, recordings of eligible sessions, and FAQs. It is updated every couple of weeks.</w:t>
      </w:r>
    </w:p>
    <w:p w14:paraId="1FA53DC5" w14:textId="77777777" w:rsidR="00951271" w:rsidRDefault="00951271" w:rsidP="00951271">
      <w:pPr>
        <w:pStyle w:val="ListBullet"/>
        <w:spacing w:before="40" w:after="40"/>
      </w:pPr>
      <w:r w:rsidRPr="000020A2">
        <w:t>Download the Retirement Readiness Passport PDF to track your progress through the 10-session series and take notes.</w:t>
      </w:r>
    </w:p>
    <w:p w14:paraId="213F83B0" w14:textId="77777777" w:rsidR="00951271" w:rsidRDefault="00951271" w:rsidP="000020A2">
      <w:pPr>
        <w:rPr>
          <w:color w:val="555555"/>
          <w:sz w:val="18"/>
        </w:rPr>
      </w:pPr>
      <w:r w:rsidRPr="000020A2">
        <w:rPr>
          <w:color w:val="555555"/>
          <w:sz w:val="18"/>
        </w:rPr>
        <w:t>Sessions with TIAA guest speakers cannot be recorded and their slides are not distributed; attend live to get the most from them.</w:t>
      </w:r>
    </w:p>
    <w:p w14:paraId="1CABB79A" w14:textId="77777777" w:rsidR="00951271" w:rsidRDefault="00951271"/>
    <w:p w14:paraId="02AF5F6C" w14:textId="77777777" w:rsidR="00951271" w:rsidRDefault="00951271" w:rsidP="55B1E116">
      <w:pPr>
        <w:pStyle w:val="Heading1"/>
      </w:pPr>
      <w:r>
        <w:t>5. Share Your Feedback</w:t>
      </w:r>
    </w:p>
    <w:p w14:paraId="1CEC68DC" w14:textId="77777777" w:rsidR="00951271" w:rsidRDefault="00951271" w:rsidP="000020A2">
      <w:r w:rsidRPr="000020A2">
        <w:t>Every participant is encouraged to complete the post-session Qualtrics survey, which is emailed to the address you used to register. Responses help shape future Benefits &amp; Welfare Committee programming.</w:t>
      </w:r>
    </w:p>
    <w:p w14:paraId="347F835C" w14:textId="77777777" w:rsidR="00951271" w:rsidRDefault="00951271" w:rsidP="00951271">
      <w:pPr>
        <w:pStyle w:val="ListBullet"/>
        <w:spacing w:before="40" w:after="40"/>
      </w:pPr>
      <w:r w:rsidRPr="000020A2">
        <w:t>Presenters — how effective and engaging were the speakers?</w:t>
      </w:r>
    </w:p>
    <w:p w14:paraId="1ADF3D30" w14:textId="77777777" w:rsidR="00951271" w:rsidRDefault="00951271" w:rsidP="00951271">
      <w:pPr>
        <w:pStyle w:val="ListBullet"/>
        <w:spacing w:before="40" w:after="40"/>
      </w:pPr>
      <w:r w:rsidRPr="000020A2">
        <w:t>Content &amp; format — was the material relevant, clear, and well-paced?</w:t>
      </w:r>
    </w:p>
    <w:p w14:paraId="013B08F9" w14:textId="77777777" w:rsidR="00951271" w:rsidRDefault="00951271" w:rsidP="00951271">
      <w:pPr>
        <w:pStyle w:val="ListBullet"/>
        <w:spacing w:before="40" w:after="40"/>
      </w:pPr>
      <w:r w:rsidRPr="000020A2">
        <w:t>Future topics — what programming would you like to see next?</w:t>
      </w:r>
    </w:p>
    <w:p w14:paraId="50D3E437" w14:textId="77777777" w:rsidR="00951271" w:rsidRDefault="00951271"/>
    <w:p w14:paraId="6BE6EED1" w14:textId="77777777" w:rsidR="00951271" w:rsidRDefault="00951271" w:rsidP="55B1E116">
      <w:pPr>
        <w:pStyle w:val="Heading1"/>
      </w:pPr>
      <w:r>
        <w:t>6. Contacts &amp; Resources</w:t>
      </w:r>
    </w:p>
    <w:tbl>
      <w:tblPr>
        <w:tblStyle w:val="TableGrid"/>
        <w:tblW w:w="0" w:type="auto"/>
        <w:tblLook w:val="04A0" w:firstRow="1" w:lastRow="0" w:firstColumn="1" w:lastColumn="0" w:noHBand="0" w:noVBand="1"/>
      </w:tblPr>
      <w:tblGrid>
        <w:gridCol w:w="2798"/>
        <w:gridCol w:w="2597"/>
        <w:gridCol w:w="4675"/>
      </w:tblGrid>
      <w:tr w:rsidR="00951271" w:rsidRPr="000020A2" w14:paraId="240052D2" w14:textId="77777777" w:rsidTr="000020A2">
        <w:trPr>
          <w:tblHeader/>
        </w:trPr>
        <w:tc>
          <w:tcPr>
            <w:tcW w:w="2800" w:type="dxa"/>
            <w:shd w:val="clear" w:color="003594" w:fill="003594"/>
          </w:tcPr>
          <w:p w14:paraId="1564AF41" w14:textId="77777777" w:rsidR="00951271" w:rsidRPr="000020A2" w:rsidRDefault="00951271" w:rsidP="000020A2">
            <w:pPr>
              <w:spacing w:before="40" w:after="40"/>
              <w:rPr>
                <w:b/>
                <w:color w:val="FFFFFF"/>
                <w:sz w:val="19"/>
              </w:rPr>
            </w:pPr>
            <w:r w:rsidRPr="000020A2">
              <w:rPr>
                <w:b/>
                <w:color w:val="FFFFFF"/>
                <w:sz w:val="19"/>
              </w:rPr>
              <w:t>Topic</w:t>
            </w:r>
          </w:p>
        </w:tc>
        <w:tc>
          <w:tcPr>
            <w:tcW w:w="2600" w:type="dxa"/>
            <w:shd w:val="clear" w:color="003594" w:fill="003594"/>
          </w:tcPr>
          <w:p w14:paraId="52A416AC" w14:textId="77777777" w:rsidR="00951271" w:rsidRPr="000020A2" w:rsidRDefault="00951271" w:rsidP="000020A2">
            <w:pPr>
              <w:spacing w:before="40" w:after="40"/>
              <w:rPr>
                <w:b/>
                <w:color w:val="FFFFFF"/>
                <w:sz w:val="19"/>
              </w:rPr>
            </w:pPr>
            <w:r w:rsidRPr="000020A2">
              <w:rPr>
                <w:b/>
                <w:color w:val="FFFFFF"/>
                <w:sz w:val="19"/>
              </w:rPr>
              <w:t>Contact / phone</w:t>
            </w:r>
          </w:p>
        </w:tc>
        <w:tc>
          <w:tcPr>
            <w:tcW w:w="4680" w:type="dxa"/>
            <w:shd w:val="clear" w:color="003594" w:fill="003594"/>
          </w:tcPr>
          <w:p w14:paraId="7C0697F3" w14:textId="77777777" w:rsidR="00951271" w:rsidRPr="000020A2" w:rsidRDefault="00951271" w:rsidP="000020A2">
            <w:pPr>
              <w:spacing w:before="40" w:after="40"/>
              <w:rPr>
                <w:b/>
                <w:color w:val="FFFFFF"/>
                <w:sz w:val="19"/>
              </w:rPr>
            </w:pPr>
            <w:r w:rsidRPr="000020A2">
              <w:rPr>
                <w:b/>
                <w:color w:val="FFFFFF"/>
                <w:sz w:val="19"/>
              </w:rPr>
              <w:t>Where to learn more</w:t>
            </w:r>
          </w:p>
        </w:tc>
      </w:tr>
      <w:tr w:rsidR="00951271" w:rsidRPr="000020A2" w14:paraId="34839500" w14:textId="77777777" w:rsidTr="000020A2">
        <w:tc>
          <w:tcPr>
            <w:tcW w:w="2800" w:type="dxa"/>
            <w:shd w:val="clear" w:color="D6E4F7" w:fill="D6E4F7"/>
          </w:tcPr>
          <w:p w14:paraId="3B75FA69" w14:textId="77777777" w:rsidR="00951271" w:rsidRPr="000020A2" w:rsidRDefault="00951271" w:rsidP="000020A2">
            <w:pPr>
              <w:spacing w:before="40" w:after="40"/>
              <w:rPr>
                <w:b/>
                <w:color w:val="003594"/>
                <w:sz w:val="19"/>
              </w:rPr>
            </w:pPr>
            <w:r w:rsidRPr="000020A2">
              <w:rPr>
                <w:b/>
                <w:color w:val="003594"/>
                <w:sz w:val="19"/>
              </w:rPr>
              <w:t>OHR Benefits Department</w:t>
            </w:r>
          </w:p>
        </w:tc>
        <w:tc>
          <w:tcPr>
            <w:tcW w:w="2600" w:type="dxa"/>
            <w:shd w:val="clear" w:color="FFFFFF" w:fill="FFFFFF"/>
          </w:tcPr>
          <w:p w14:paraId="381469DC" w14:textId="77777777" w:rsidR="00951271" w:rsidRPr="000020A2" w:rsidRDefault="00951271" w:rsidP="000020A2">
            <w:pPr>
              <w:spacing w:before="40" w:after="40"/>
              <w:rPr>
                <w:sz w:val="19"/>
              </w:rPr>
            </w:pPr>
            <w:r w:rsidRPr="000020A2">
              <w:rPr>
                <w:sz w:val="19"/>
              </w:rPr>
              <w:t>833-852-2210 (Mon – Fri, 8:30 a.m. – 5 p.m.)</w:t>
            </w:r>
          </w:p>
        </w:tc>
        <w:tc>
          <w:tcPr>
            <w:tcW w:w="4680" w:type="dxa"/>
            <w:shd w:val="clear" w:color="FFFFFF" w:fill="FFFFFF"/>
          </w:tcPr>
          <w:p w14:paraId="022DDCFD" w14:textId="77777777" w:rsidR="00951271" w:rsidRPr="000020A2" w:rsidRDefault="00951271" w:rsidP="000020A2">
            <w:pPr>
              <w:spacing w:before="40" w:after="40"/>
              <w:rPr>
                <w:sz w:val="19"/>
              </w:rPr>
            </w:pPr>
            <w:hyperlink r:id="rId10" w:history="1">
              <w:r w:rsidRPr="000020A2">
                <w:rPr>
                  <w:rStyle w:val="Hyperlink"/>
                  <w:color w:val="0563C1"/>
                  <w:sz w:val="19"/>
                </w:rPr>
                <w:t>hr.pitt.edu/contact-</w:t>
              </w:r>
              <w:proofErr w:type="spellStart"/>
              <w:r w:rsidRPr="000020A2">
                <w:rPr>
                  <w:rStyle w:val="Hyperlink"/>
                  <w:color w:val="0563C1"/>
                  <w:sz w:val="19"/>
                </w:rPr>
                <w:t>ohr</w:t>
              </w:r>
              <w:proofErr w:type="spellEnd"/>
            </w:hyperlink>
          </w:p>
        </w:tc>
      </w:tr>
      <w:tr w:rsidR="00951271" w:rsidRPr="000020A2" w14:paraId="53B1B026" w14:textId="77777777" w:rsidTr="000020A2">
        <w:tc>
          <w:tcPr>
            <w:tcW w:w="2800" w:type="dxa"/>
            <w:shd w:val="clear" w:color="D6E4F7" w:fill="D6E4F7"/>
          </w:tcPr>
          <w:p w14:paraId="36F7F898" w14:textId="77777777" w:rsidR="00951271" w:rsidRPr="000020A2" w:rsidRDefault="00951271" w:rsidP="000020A2">
            <w:pPr>
              <w:spacing w:before="40" w:after="40"/>
              <w:rPr>
                <w:b/>
                <w:color w:val="003594"/>
                <w:sz w:val="19"/>
              </w:rPr>
            </w:pPr>
            <w:r w:rsidRPr="000020A2">
              <w:rPr>
                <w:b/>
                <w:color w:val="003594"/>
                <w:sz w:val="19"/>
              </w:rPr>
              <w:t>Main Retiree Webpage</w:t>
            </w:r>
          </w:p>
        </w:tc>
        <w:tc>
          <w:tcPr>
            <w:tcW w:w="2600" w:type="dxa"/>
            <w:shd w:val="clear" w:color="FFFFFF" w:fill="FFFFFF"/>
          </w:tcPr>
          <w:p w14:paraId="6208B6A9"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03544A43" w14:textId="77777777" w:rsidR="00951271" w:rsidRPr="000020A2" w:rsidRDefault="00951271" w:rsidP="000020A2">
            <w:pPr>
              <w:spacing w:before="40" w:after="40"/>
              <w:rPr>
                <w:color w:val="0563C1"/>
                <w:sz w:val="19"/>
              </w:rPr>
            </w:pPr>
            <w:hyperlink r:id="rId11" w:history="1">
              <w:r w:rsidRPr="000020A2">
                <w:rPr>
                  <w:rStyle w:val="Hyperlink"/>
                  <w:color w:val="0563C1"/>
                  <w:sz w:val="19"/>
                </w:rPr>
                <w:t>hr.pitt.edu/retirees</w:t>
              </w:r>
            </w:hyperlink>
          </w:p>
        </w:tc>
      </w:tr>
      <w:tr w:rsidR="00951271" w:rsidRPr="000020A2" w14:paraId="49AD4233" w14:textId="77777777" w:rsidTr="000020A2">
        <w:tc>
          <w:tcPr>
            <w:tcW w:w="2800" w:type="dxa"/>
            <w:shd w:val="clear" w:color="D6E4F7" w:fill="D6E4F7"/>
          </w:tcPr>
          <w:p w14:paraId="62BF8A68" w14:textId="77777777" w:rsidR="00951271" w:rsidRPr="000020A2" w:rsidRDefault="00951271" w:rsidP="000020A2">
            <w:pPr>
              <w:spacing w:before="40" w:after="40"/>
              <w:rPr>
                <w:b/>
                <w:color w:val="003594"/>
                <w:sz w:val="19"/>
              </w:rPr>
            </w:pPr>
            <w:r w:rsidRPr="000020A2">
              <w:rPr>
                <w:b/>
                <w:color w:val="003594"/>
                <w:sz w:val="19"/>
              </w:rPr>
              <w:t>Steps Toward Retirement Checklist</w:t>
            </w:r>
          </w:p>
        </w:tc>
        <w:tc>
          <w:tcPr>
            <w:tcW w:w="2600" w:type="dxa"/>
            <w:shd w:val="clear" w:color="FFFFFF" w:fill="FFFFFF"/>
          </w:tcPr>
          <w:p w14:paraId="692D9823"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1532672F" w14:textId="77777777" w:rsidR="00951271" w:rsidRPr="000020A2" w:rsidRDefault="00951271" w:rsidP="000020A2">
            <w:pPr>
              <w:spacing w:before="40" w:after="40"/>
              <w:rPr>
                <w:color w:val="0563C1"/>
                <w:sz w:val="19"/>
              </w:rPr>
            </w:pPr>
            <w:hyperlink r:id="rId12" w:history="1">
              <w:r w:rsidRPr="000020A2">
                <w:rPr>
                  <w:rStyle w:val="Hyperlink"/>
                  <w:color w:val="0563C1"/>
                  <w:sz w:val="19"/>
                </w:rPr>
                <w:t>Steps Toward Retirement Checklist (PDF)</w:t>
              </w:r>
            </w:hyperlink>
          </w:p>
        </w:tc>
      </w:tr>
      <w:tr w:rsidR="00951271" w:rsidRPr="000020A2" w14:paraId="273FBE37" w14:textId="77777777" w:rsidTr="000020A2">
        <w:tc>
          <w:tcPr>
            <w:tcW w:w="2800" w:type="dxa"/>
            <w:shd w:val="clear" w:color="D6E4F7" w:fill="D6E4F7"/>
          </w:tcPr>
          <w:p w14:paraId="16D18D59" w14:textId="77777777" w:rsidR="00951271" w:rsidRPr="000020A2" w:rsidRDefault="00951271" w:rsidP="000020A2">
            <w:pPr>
              <w:spacing w:before="40" w:after="40"/>
              <w:rPr>
                <w:b/>
                <w:color w:val="003594"/>
                <w:sz w:val="19"/>
              </w:rPr>
            </w:pPr>
            <w:r w:rsidRPr="000020A2">
              <w:rPr>
                <w:b/>
                <w:color w:val="003594"/>
                <w:sz w:val="19"/>
              </w:rPr>
              <w:t>Retiree Eligibility</w:t>
            </w:r>
          </w:p>
        </w:tc>
        <w:tc>
          <w:tcPr>
            <w:tcW w:w="2600" w:type="dxa"/>
            <w:shd w:val="clear" w:color="FFFFFF" w:fill="FFFFFF"/>
          </w:tcPr>
          <w:p w14:paraId="00285B9D"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274F4611" w14:textId="77777777" w:rsidR="00951271" w:rsidRPr="000020A2" w:rsidRDefault="00951271" w:rsidP="000020A2">
            <w:pPr>
              <w:spacing w:before="40" w:after="40"/>
              <w:rPr>
                <w:color w:val="0563C1"/>
                <w:sz w:val="19"/>
              </w:rPr>
            </w:pPr>
            <w:hyperlink r:id="rId13" w:history="1">
              <w:r w:rsidRPr="000020A2">
                <w:rPr>
                  <w:rStyle w:val="Hyperlink"/>
                  <w:color w:val="0563C1"/>
                  <w:sz w:val="19"/>
                </w:rPr>
                <w:t>hr.pitt.edu/retirees/retiree-status-eligibility</w:t>
              </w:r>
            </w:hyperlink>
          </w:p>
        </w:tc>
      </w:tr>
      <w:tr w:rsidR="00951271" w:rsidRPr="000020A2" w14:paraId="2CA55885" w14:textId="77777777" w:rsidTr="000020A2">
        <w:tc>
          <w:tcPr>
            <w:tcW w:w="2800" w:type="dxa"/>
            <w:shd w:val="clear" w:color="D6E4F7" w:fill="D6E4F7"/>
          </w:tcPr>
          <w:p w14:paraId="53710325" w14:textId="77777777" w:rsidR="00951271" w:rsidRPr="000020A2" w:rsidRDefault="00951271" w:rsidP="000020A2">
            <w:pPr>
              <w:spacing w:before="40" w:after="40"/>
              <w:rPr>
                <w:b/>
                <w:color w:val="003594"/>
                <w:sz w:val="19"/>
              </w:rPr>
            </w:pPr>
            <w:r w:rsidRPr="000020A2">
              <w:rPr>
                <w:b/>
                <w:color w:val="003594"/>
                <w:sz w:val="19"/>
              </w:rPr>
              <w:t>Pre-65 Coverage</w:t>
            </w:r>
          </w:p>
        </w:tc>
        <w:tc>
          <w:tcPr>
            <w:tcW w:w="2600" w:type="dxa"/>
            <w:shd w:val="clear" w:color="FFFFFF" w:fill="FFFFFF"/>
          </w:tcPr>
          <w:p w14:paraId="31928101"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5C6BBFAE" w14:textId="77777777" w:rsidR="00951271" w:rsidRPr="000020A2" w:rsidRDefault="00951271" w:rsidP="000020A2">
            <w:pPr>
              <w:spacing w:before="40" w:after="40"/>
              <w:rPr>
                <w:color w:val="0563C1"/>
                <w:sz w:val="19"/>
              </w:rPr>
            </w:pPr>
            <w:hyperlink r:id="rId14" w:history="1">
              <w:r w:rsidRPr="000020A2">
                <w:rPr>
                  <w:rStyle w:val="Hyperlink"/>
                  <w:color w:val="0563C1"/>
                  <w:sz w:val="19"/>
                </w:rPr>
                <w:t>hr.pitt.edu/retirees/pre-65-coverage</w:t>
              </w:r>
            </w:hyperlink>
          </w:p>
        </w:tc>
      </w:tr>
      <w:tr w:rsidR="00951271" w:rsidRPr="000020A2" w14:paraId="439EF502" w14:textId="77777777" w:rsidTr="000020A2">
        <w:tc>
          <w:tcPr>
            <w:tcW w:w="2800" w:type="dxa"/>
            <w:shd w:val="clear" w:color="D6E4F7" w:fill="D6E4F7"/>
          </w:tcPr>
          <w:p w14:paraId="5E41A5C7" w14:textId="77777777" w:rsidR="00951271" w:rsidRPr="000020A2" w:rsidRDefault="00951271" w:rsidP="000020A2">
            <w:pPr>
              <w:spacing w:before="40" w:after="40"/>
              <w:rPr>
                <w:b/>
                <w:color w:val="003594"/>
                <w:sz w:val="19"/>
              </w:rPr>
            </w:pPr>
            <w:r w:rsidRPr="000020A2">
              <w:rPr>
                <w:b/>
                <w:color w:val="003594"/>
                <w:sz w:val="19"/>
              </w:rPr>
              <w:t>Post-65 Coverage</w:t>
            </w:r>
          </w:p>
        </w:tc>
        <w:tc>
          <w:tcPr>
            <w:tcW w:w="2600" w:type="dxa"/>
            <w:shd w:val="clear" w:color="FFFFFF" w:fill="FFFFFF"/>
          </w:tcPr>
          <w:p w14:paraId="1781BDBB"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67585AC4" w14:textId="77777777" w:rsidR="00951271" w:rsidRPr="000020A2" w:rsidRDefault="00951271" w:rsidP="000020A2">
            <w:pPr>
              <w:spacing w:before="40" w:after="40"/>
              <w:rPr>
                <w:color w:val="0563C1"/>
                <w:sz w:val="19"/>
              </w:rPr>
            </w:pPr>
            <w:hyperlink r:id="rId15" w:history="1">
              <w:r w:rsidRPr="000020A2">
                <w:rPr>
                  <w:rStyle w:val="Hyperlink"/>
                  <w:color w:val="0563C1"/>
                  <w:sz w:val="19"/>
                </w:rPr>
                <w:t>hr.pitt.edu/retirees/post-65-coverage</w:t>
              </w:r>
            </w:hyperlink>
          </w:p>
        </w:tc>
      </w:tr>
      <w:tr w:rsidR="00951271" w:rsidRPr="000020A2" w14:paraId="261383C2" w14:textId="77777777" w:rsidTr="000020A2">
        <w:tc>
          <w:tcPr>
            <w:tcW w:w="2800" w:type="dxa"/>
            <w:shd w:val="clear" w:color="D6E4F7" w:fill="D6E4F7"/>
          </w:tcPr>
          <w:p w14:paraId="442A2578" w14:textId="77777777" w:rsidR="00951271" w:rsidRPr="000020A2" w:rsidRDefault="00951271" w:rsidP="000020A2">
            <w:pPr>
              <w:spacing w:before="40" w:after="40"/>
              <w:rPr>
                <w:b/>
                <w:color w:val="003594"/>
                <w:sz w:val="19"/>
              </w:rPr>
            </w:pPr>
            <w:r w:rsidRPr="000020A2">
              <w:rPr>
                <w:b/>
                <w:color w:val="003594"/>
                <w:sz w:val="19"/>
              </w:rPr>
              <w:t>Defined Dollar Benefit Program</w:t>
            </w:r>
          </w:p>
        </w:tc>
        <w:tc>
          <w:tcPr>
            <w:tcW w:w="2600" w:type="dxa"/>
            <w:shd w:val="clear" w:color="FFFFFF" w:fill="FFFFFF"/>
          </w:tcPr>
          <w:p w14:paraId="1FEC3AF9"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449F15C8" w14:textId="77777777" w:rsidR="00951271" w:rsidRPr="000020A2" w:rsidRDefault="00951271" w:rsidP="000020A2">
            <w:pPr>
              <w:spacing w:before="40" w:after="40"/>
              <w:rPr>
                <w:color w:val="0563C1"/>
                <w:sz w:val="19"/>
              </w:rPr>
            </w:pPr>
            <w:hyperlink r:id="rId16" w:history="1">
              <w:r w:rsidRPr="000020A2">
                <w:rPr>
                  <w:rStyle w:val="Hyperlink"/>
                  <w:color w:val="0563C1"/>
                  <w:sz w:val="19"/>
                </w:rPr>
                <w:t>hr.pitt.edu/retirees/defined-dollar-benefit-plan</w:t>
              </w:r>
            </w:hyperlink>
          </w:p>
        </w:tc>
      </w:tr>
      <w:tr w:rsidR="00951271" w:rsidRPr="000020A2" w14:paraId="3F644174" w14:textId="77777777" w:rsidTr="000020A2">
        <w:tc>
          <w:tcPr>
            <w:tcW w:w="2800" w:type="dxa"/>
            <w:shd w:val="clear" w:color="D6E4F7" w:fill="D6E4F7"/>
          </w:tcPr>
          <w:p w14:paraId="55B264BE" w14:textId="77777777" w:rsidR="00951271" w:rsidRPr="000020A2" w:rsidRDefault="00951271" w:rsidP="000020A2">
            <w:pPr>
              <w:spacing w:before="40" w:after="40"/>
              <w:rPr>
                <w:b/>
                <w:color w:val="003594"/>
                <w:sz w:val="19"/>
              </w:rPr>
            </w:pPr>
            <w:r w:rsidRPr="000020A2">
              <w:rPr>
                <w:b/>
                <w:color w:val="003594"/>
                <w:sz w:val="19"/>
              </w:rPr>
              <w:t>Defined Contribution Plan (TIAA)</w:t>
            </w:r>
          </w:p>
        </w:tc>
        <w:tc>
          <w:tcPr>
            <w:tcW w:w="2600" w:type="dxa"/>
            <w:shd w:val="clear" w:color="FFFFFF" w:fill="FFFFFF"/>
          </w:tcPr>
          <w:p w14:paraId="37CFC0DD"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3826B115" w14:textId="77777777" w:rsidR="00951271" w:rsidRPr="000020A2" w:rsidRDefault="00951271" w:rsidP="000020A2">
            <w:pPr>
              <w:spacing w:before="40" w:after="40"/>
              <w:rPr>
                <w:color w:val="0563C1"/>
                <w:sz w:val="19"/>
              </w:rPr>
            </w:pPr>
            <w:hyperlink r:id="rId17" w:history="1">
              <w:r w:rsidRPr="000020A2">
                <w:rPr>
                  <w:rStyle w:val="Hyperlink"/>
                  <w:color w:val="0563C1"/>
                  <w:sz w:val="19"/>
                </w:rPr>
                <w:t>Retirement Savings for Current Employees</w:t>
              </w:r>
            </w:hyperlink>
          </w:p>
        </w:tc>
      </w:tr>
      <w:tr w:rsidR="00951271" w:rsidRPr="000020A2" w14:paraId="789F596C" w14:textId="77777777" w:rsidTr="000020A2">
        <w:tc>
          <w:tcPr>
            <w:tcW w:w="2800" w:type="dxa"/>
            <w:shd w:val="clear" w:color="D6E4F7" w:fill="D6E4F7"/>
          </w:tcPr>
          <w:p w14:paraId="042FDC48" w14:textId="77777777" w:rsidR="00951271" w:rsidRPr="000020A2" w:rsidRDefault="00951271" w:rsidP="000020A2">
            <w:pPr>
              <w:spacing w:before="40" w:after="40"/>
              <w:rPr>
                <w:b/>
                <w:color w:val="003594"/>
                <w:sz w:val="19"/>
              </w:rPr>
            </w:pPr>
            <w:r w:rsidRPr="000020A2">
              <w:rPr>
                <w:b/>
                <w:color w:val="003594"/>
                <w:sz w:val="19"/>
              </w:rPr>
              <w:t>Noncontributory Defined Benefit Plan</w:t>
            </w:r>
          </w:p>
        </w:tc>
        <w:tc>
          <w:tcPr>
            <w:tcW w:w="2600" w:type="dxa"/>
            <w:shd w:val="clear" w:color="FFFFFF" w:fill="FFFFFF"/>
          </w:tcPr>
          <w:p w14:paraId="3B22612A"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30F66C23" w14:textId="77777777" w:rsidR="00951271" w:rsidRPr="000020A2" w:rsidRDefault="00951271" w:rsidP="000020A2">
            <w:pPr>
              <w:spacing w:before="40" w:after="40"/>
              <w:rPr>
                <w:color w:val="0563C1"/>
                <w:sz w:val="19"/>
              </w:rPr>
            </w:pPr>
            <w:hyperlink r:id="rId18" w:history="1">
              <w:r w:rsidRPr="000020A2">
                <w:rPr>
                  <w:rStyle w:val="Hyperlink"/>
                  <w:color w:val="0563C1"/>
                  <w:sz w:val="19"/>
                </w:rPr>
                <w:t>Noncontributory Defined Benefit Plan</w:t>
              </w:r>
            </w:hyperlink>
          </w:p>
        </w:tc>
      </w:tr>
      <w:tr w:rsidR="00951271" w:rsidRPr="000020A2" w14:paraId="7B4A9180" w14:textId="77777777" w:rsidTr="000020A2">
        <w:tc>
          <w:tcPr>
            <w:tcW w:w="2800" w:type="dxa"/>
            <w:shd w:val="clear" w:color="D6E4F7" w:fill="D6E4F7"/>
          </w:tcPr>
          <w:p w14:paraId="143674DB" w14:textId="77777777" w:rsidR="00951271" w:rsidRPr="000020A2" w:rsidRDefault="00951271" w:rsidP="000020A2">
            <w:pPr>
              <w:spacing w:before="40" w:after="40"/>
              <w:rPr>
                <w:b/>
                <w:color w:val="003594"/>
                <w:sz w:val="19"/>
              </w:rPr>
            </w:pPr>
            <w:r w:rsidRPr="000020A2">
              <w:rPr>
                <w:b/>
                <w:color w:val="003594"/>
                <w:sz w:val="19"/>
              </w:rPr>
              <w:t>Helpful Tools</w:t>
            </w:r>
          </w:p>
        </w:tc>
        <w:tc>
          <w:tcPr>
            <w:tcW w:w="2600" w:type="dxa"/>
            <w:shd w:val="clear" w:color="FFFFFF" w:fill="FFFFFF"/>
          </w:tcPr>
          <w:p w14:paraId="082DA956"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5AC60F6C" w14:textId="77777777" w:rsidR="00951271" w:rsidRPr="000020A2" w:rsidRDefault="00951271" w:rsidP="000020A2">
            <w:pPr>
              <w:spacing w:before="40" w:after="40"/>
              <w:rPr>
                <w:color w:val="0563C1"/>
                <w:sz w:val="19"/>
              </w:rPr>
            </w:pPr>
            <w:hyperlink r:id="rId19" w:history="1">
              <w:r w:rsidRPr="000020A2">
                <w:rPr>
                  <w:rStyle w:val="Hyperlink"/>
                  <w:color w:val="0563C1"/>
                  <w:sz w:val="19"/>
                </w:rPr>
                <w:t>hr.pitt.edu/retirees/</w:t>
              </w:r>
              <w:proofErr w:type="gramStart"/>
              <w:r w:rsidRPr="000020A2">
                <w:rPr>
                  <w:rStyle w:val="Hyperlink"/>
                  <w:color w:val="0563C1"/>
                  <w:sz w:val="19"/>
                </w:rPr>
                <w:t>helpful-tools</w:t>
              </w:r>
              <w:proofErr w:type="gramEnd"/>
            </w:hyperlink>
          </w:p>
        </w:tc>
      </w:tr>
      <w:tr w:rsidR="00951271" w:rsidRPr="000020A2" w14:paraId="7BA2BA9C" w14:textId="77777777" w:rsidTr="000020A2">
        <w:tc>
          <w:tcPr>
            <w:tcW w:w="2800" w:type="dxa"/>
            <w:shd w:val="clear" w:color="D6E4F7" w:fill="D6E4F7"/>
          </w:tcPr>
          <w:p w14:paraId="76BCD195" w14:textId="77777777" w:rsidR="00951271" w:rsidRPr="000020A2" w:rsidRDefault="00951271" w:rsidP="000020A2">
            <w:pPr>
              <w:spacing w:before="40" w:after="40"/>
              <w:rPr>
                <w:b/>
                <w:color w:val="003594"/>
                <w:sz w:val="19"/>
              </w:rPr>
            </w:pPr>
            <w:r w:rsidRPr="000020A2">
              <w:rPr>
                <w:b/>
                <w:color w:val="003594"/>
                <w:sz w:val="19"/>
              </w:rPr>
              <w:t>TIAA</w:t>
            </w:r>
          </w:p>
        </w:tc>
        <w:tc>
          <w:tcPr>
            <w:tcW w:w="2600" w:type="dxa"/>
            <w:shd w:val="clear" w:color="FFFFFF" w:fill="FFFFFF"/>
          </w:tcPr>
          <w:p w14:paraId="44C14B86" w14:textId="77777777" w:rsidR="00951271" w:rsidRPr="000020A2" w:rsidRDefault="00951271" w:rsidP="000020A2">
            <w:pPr>
              <w:spacing w:before="40" w:after="40"/>
              <w:rPr>
                <w:sz w:val="19"/>
              </w:rPr>
            </w:pPr>
            <w:r w:rsidRPr="000020A2">
              <w:rPr>
                <w:sz w:val="19"/>
              </w:rPr>
              <w:t>Schedule a one-on-one with a TIAA financial consultant</w:t>
            </w:r>
          </w:p>
        </w:tc>
        <w:tc>
          <w:tcPr>
            <w:tcW w:w="4680" w:type="dxa"/>
            <w:shd w:val="clear" w:color="FFFFFF" w:fill="FFFFFF"/>
          </w:tcPr>
          <w:p w14:paraId="467B1A0A" w14:textId="77777777" w:rsidR="00951271" w:rsidRPr="000020A2" w:rsidRDefault="00951271" w:rsidP="000020A2">
            <w:pPr>
              <w:spacing w:before="40" w:after="40"/>
              <w:rPr>
                <w:color w:val="0563C1"/>
                <w:sz w:val="19"/>
              </w:rPr>
            </w:pPr>
            <w:hyperlink r:id="rId20" w:history="1">
              <w:r w:rsidRPr="000020A2">
                <w:rPr>
                  <w:rStyle w:val="Hyperlink"/>
                  <w:color w:val="0563C1"/>
                  <w:sz w:val="19"/>
                </w:rPr>
                <w:t>tiaa.org/webinars</w:t>
              </w:r>
            </w:hyperlink>
          </w:p>
        </w:tc>
      </w:tr>
      <w:tr w:rsidR="00951271" w:rsidRPr="000020A2" w14:paraId="2EA33B5A" w14:textId="77777777" w:rsidTr="000020A2">
        <w:tc>
          <w:tcPr>
            <w:tcW w:w="2800" w:type="dxa"/>
            <w:shd w:val="clear" w:color="D6E4F7" w:fill="D6E4F7"/>
          </w:tcPr>
          <w:p w14:paraId="2CDDEFBB" w14:textId="77777777" w:rsidR="00951271" w:rsidRPr="000020A2" w:rsidRDefault="00951271" w:rsidP="000020A2">
            <w:pPr>
              <w:spacing w:before="40" w:after="40"/>
              <w:rPr>
                <w:b/>
                <w:color w:val="003594"/>
                <w:sz w:val="19"/>
              </w:rPr>
            </w:pPr>
            <w:r w:rsidRPr="000020A2">
              <w:rPr>
                <w:b/>
                <w:color w:val="003594"/>
                <w:sz w:val="19"/>
              </w:rPr>
              <w:t>Retirement Readiness Series</w:t>
            </w:r>
          </w:p>
        </w:tc>
        <w:tc>
          <w:tcPr>
            <w:tcW w:w="2600" w:type="dxa"/>
            <w:shd w:val="clear" w:color="FFFFFF" w:fill="FFFFFF"/>
          </w:tcPr>
          <w:p w14:paraId="5942928D" w14:textId="77777777" w:rsidR="00951271" w:rsidRPr="000020A2" w:rsidRDefault="00951271" w:rsidP="000020A2">
            <w:pPr>
              <w:spacing w:before="40" w:after="40"/>
              <w:rPr>
                <w:sz w:val="19"/>
              </w:rPr>
            </w:pPr>
            <w:r w:rsidRPr="000020A2">
              <w:rPr>
                <w:sz w:val="19"/>
              </w:rPr>
              <w:t>—</w:t>
            </w:r>
          </w:p>
        </w:tc>
        <w:tc>
          <w:tcPr>
            <w:tcW w:w="4680" w:type="dxa"/>
            <w:shd w:val="clear" w:color="FFFFFF" w:fill="FFFFFF"/>
          </w:tcPr>
          <w:p w14:paraId="69FD1F36" w14:textId="77777777" w:rsidR="00951271" w:rsidRPr="000020A2" w:rsidRDefault="00951271" w:rsidP="000020A2">
            <w:pPr>
              <w:spacing w:before="40" w:after="40"/>
              <w:rPr>
                <w:color w:val="0563C1"/>
                <w:sz w:val="19"/>
              </w:rPr>
            </w:pPr>
            <w:hyperlink r:id="rId21" w:history="1">
              <w:r w:rsidRPr="000020A2">
                <w:rPr>
                  <w:rStyle w:val="Hyperlink"/>
                  <w:color w:val="0563C1"/>
                  <w:sz w:val="19"/>
                </w:rPr>
                <w:t>hr.pitt.edu/retirement-readiness</w:t>
              </w:r>
            </w:hyperlink>
          </w:p>
        </w:tc>
      </w:tr>
    </w:tbl>
    <w:p w14:paraId="4728B247" w14:textId="77777777" w:rsidR="00951271" w:rsidRDefault="00951271" w:rsidP="000020A2"/>
    <w:p w14:paraId="7F4C2BAD" w14:textId="77777777" w:rsidR="00951271" w:rsidRDefault="00951271" w:rsidP="55B1E116">
      <w:pPr>
        <w:pStyle w:val="Heading1"/>
      </w:pPr>
      <w:r>
        <w:t>7. Disclosure</w:t>
      </w:r>
    </w:p>
    <w:p w14:paraId="28347C8B" w14:textId="77777777" w:rsidR="00951271" w:rsidRDefault="00951271" w:rsidP="55B1E116">
      <w:pPr>
        <w:spacing w:before="120" w:after="120"/>
      </w:pPr>
      <w:r w:rsidRPr="55B1E116">
        <w:t xml:space="preserve">The information presented is intended solely for general educational and informational purposes and provides an overview and discussion of </w:t>
      </w:r>
      <w:proofErr w:type="gramStart"/>
      <w:r w:rsidRPr="55B1E116">
        <w:t>University</w:t>
      </w:r>
      <w:proofErr w:type="gramEnd"/>
      <w:r w:rsidRPr="55B1E116">
        <w:t xml:space="preserve"> benefit plans and related policies. It does not replace or override any official plan documents, University policies, established procedures, or contracts with insurance carriers; in all instances, those documents govern and supersede the information presented, and if there </w:t>
      </w:r>
      <w:proofErr w:type="gramStart"/>
      <w:r w:rsidRPr="55B1E116">
        <w:t>is</w:t>
      </w:r>
      <w:proofErr w:type="gramEnd"/>
      <w:r w:rsidRPr="55B1E116">
        <w:t xml:space="preserve"> any conflict, the official plan documents and contracts will control. The benefit plans are based on current federal and state laws and are regulated by those laws. Benefits may be modified as required by changes in applicable </w:t>
      </w:r>
      <w:proofErr w:type="gramStart"/>
      <w:r w:rsidRPr="55B1E116">
        <w:t>laws, or</w:t>
      </w:r>
      <w:proofErr w:type="gramEnd"/>
      <w:r w:rsidRPr="55B1E116">
        <w:t xml:space="preserve"> modified or terminated as deemed necessary or appropriate by the University; any such changes will be communicated in writing when appropriate. No one speaking on behalf of the plans, or purporting to do so, has the authority to modify the terms of the plans in any way. The plan documents govern in all cases.</w:t>
      </w:r>
    </w:p>
    <w:p w14:paraId="009A9B2B" w14:textId="77777777" w:rsidR="00951271" w:rsidRDefault="00951271" w:rsidP="55B1E116">
      <w:pPr>
        <w:spacing w:before="120" w:after="120"/>
      </w:pPr>
      <w:r w:rsidRPr="55B1E116">
        <w:t>Employees who are members of a collective bargaining unit should refer to their collective bargaining agreements for specific guidance regarding their benefits, as those agreements may include provisions that differ from or take precedence over the information discussed. Additional descriptive materials are available from the carriers and the Office of Human Resources, and at hr.pitt.edu/benefits.</w:t>
      </w:r>
    </w:p>
    <w:p w14:paraId="463F7CB7" w14:textId="77777777" w:rsidR="00951271" w:rsidRDefault="00951271"/>
    <w:p w14:paraId="614BF6DD" w14:textId="77777777" w:rsidR="00951271" w:rsidRDefault="00951271"/>
    <w:sectPr w:rsidR="00951271" w:rsidSect="00951271">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4D848" w14:textId="77777777" w:rsidR="00D96AA4" w:rsidRDefault="00D96AA4" w:rsidP="000020A2">
      <w:pPr>
        <w:spacing w:after="0" w:line="240" w:lineRule="auto"/>
      </w:pPr>
      <w:r>
        <w:separator/>
      </w:r>
    </w:p>
  </w:endnote>
  <w:endnote w:type="continuationSeparator" w:id="0">
    <w:p w14:paraId="78156CA1" w14:textId="77777777" w:rsidR="00D96AA4" w:rsidRDefault="00D96AA4" w:rsidP="0000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650AF" w14:textId="77777777" w:rsidR="00D96AA4" w:rsidRDefault="00D96AA4" w:rsidP="000020A2">
      <w:pPr>
        <w:spacing w:after="0" w:line="240" w:lineRule="auto"/>
      </w:pPr>
      <w:r>
        <w:separator/>
      </w:r>
    </w:p>
  </w:footnote>
  <w:footnote w:type="continuationSeparator" w:id="0">
    <w:p w14:paraId="11A28529" w14:textId="77777777" w:rsidR="00D96AA4" w:rsidRDefault="00D96AA4" w:rsidP="000020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E410D6"/>
    <w:lvl w:ilvl="0">
      <w:start w:val="1"/>
      <w:numFmt w:val="bullet"/>
      <w:pStyle w:val="ListBullet"/>
      <w:lvlText w:val=""/>
      <w:lvlJc w:val="left"/>
      <w:pPr>
        <w:tabs>
          <w:tab w:val="num" w:pos="360"/>
        </w:tabs>
        <w:ind w:left="360" w:hanging="360"/>
      </w:pPr>
      <w:rPr>
        <w:rFonts w:ascii="Symbol" w:hAnsi="Symbol" w:hint="default"/>
      </w:rPr>
    </w:lvl>
  </w:abstractNum>
  <w:num w:numId="1" w16cid:durableId="589894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0A2"/>
    <w:rsid w:val="000020A2"/>
    <w:rsid w:val="000D6B87"/>
    <w:rsid w:val="0016132F"/>
    <w:rsid w:val="002D67E1"/>
    <w:rsid w:val="002F13F8"/>
    <w:rsid w:val="003A2659"/>
    <w:rsid w:val="003C6F64"/>
    <w:rsid w:val="00424F50"/>
    <w:rsid w:val="00435D47"/>
    <w:rsid w:val="00483531"/>
    <w:rsid w:val="00483C4C"/>
    <w:rsid w:val="00496A59"/>
    <w:rsid w:val="004E37A5"/>
    <w:rsid w:val="00560ACC"/>
    <w:rsid w:val="0057052E"/>
    <w:rsid w:val="005E63B6"/>
    <w:rsid w:val="005E6A22"/>
    <w:rsid w:val="006106A8"/>
    <w:rsid w:val="0075579B"/>
    <w:rsid w:val="008409F0"/>
    <w:rsid w:val="00841909"/>
    <w:rsid w:val="008D0D9D"/>
    <w:rsid w:val="008F3791"/>
    <w:rsid w:val="009326D4"/>
    <w:rsid w:val="00951271"/>
    <w:rsid w:val="00972C17"/>
    <w:rsid w:val="009E474F"/>
    <w:rsid w:val="00A15683"/>
    <w:rsid w:val="00A36864"/>
    <w:rsid w:val="00A73028"/>
    <w:rsid w:val="00A84528"/>
    <w:rsid w:val="00AB21B6"/>
    <w:rsid w:val="00AC7045"/>
    <w:rsid w:val="00AD01C2"/>
    <w:rsid w:val="00B6214E"/>
    <w:rsid w:val="00B76315"/>
    <w:rsid w:val="00B908A7"/>
    <w:rsid w:val="00BB5A1C"/>
    <w:rsid w:val="00BF02A8"/>
    <w:rsid w:val="00CA1043"/>
    <w:rsid w:val="00CA7758"/>
    <w:rsid w:val="00CD6F74"/>
    <w:rsid w:val="00D10E58"/>
    <w:rsid w:val="00D96AA4"/>
    <w:rsid w:val="00E1451C"/>
    <w:rsid w:val="00E44FC0"/>
    <w:rsid w:val="00EA76DA"/>
    <w:rsid w:val="00F852E1"/>
    <w:rsid w:val="00FA6F41"/>
    <w:rsid w:val="00FA7AAA"/>
    <w:rsid w:val="01A0A100"/>
    <w:rsid w:val="1E32A3AC"/>
    <w:rsid w:val="271CF2EA"/>
    <w:rsid w:val="2FE8C894"/>
    <w:rsid w:val="42111C95"/>
    <w:rsid w:val="4E0F5FAE"/>
    <w:rsid w:val="4EECC805"/>
    <w:rsid w:val="55B1E116"/>
    <w:rsid w:val="6777AADB"/>
    <w:rsid w:val="75BEA5E5"/>
    <w:rsid w:val="7B9C40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D5CC6"/>
  <w15:chartTrackingRefBased/>
  <w15:docId w15:val="{6EB18FD5-B023-4325-8E90-96429E69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271"/>
    <w:pPr>
      <w:spacing w:before="60" w:after="60" w:line="270" w:lineRule="atLeast"/>
    </w:pPr>
    <w:rPr>
      <w:rFonts w:ascii="Arial" w:hAnsi="Arial" w:cs="Arial"/>
      <w:color w:val="333333"/>
      <w:sz w:val="20"/>
    </w:rPr>
  </w:style>
  <w:style w:type="paragraph" w:styleId="Heading1">
    <w:name w:val="heading 1"/>
    <w:basedOn w:val="Normal"/>
    <w:next w:val="Normal"/>
    <w:link w:val="Heading1Char"/>
    <w:uiPriority w:val="9"/>
    <w:qFormat/>
    <w:rsid w:val="00951271"/>
    <w:pPr>
      <w:keepNext/>
      <w:keepLines/>
      <w:pBdr>
        <w:bottom w:val="single" w:sz="4" w:space="0" w:color="FFB81C"/>
      </w:pBdr>
      <w:spacing w:before="360" w:after="120"/>
      <w:outlineLvl w:val="0"/>
    </w:pPr>
    <w:rPr>
      <w:b/>
      <w:color w:val="003594"/>
      <w:sz w:val="28"/>
      <w:szCs w:val="40"/>
    </w:rPr>
  </w:style>
  <w:style w:type="paragraph" w:styleId="Heading2">
    <w:name w:val="heading 2"/>
    <w:basedOn w:val="Normal"/>
    <w:next w:val="Normal"/>
    <w:link w:val="Heading2Char"/>
    <w:uiPriority w:val="9"/>
    <w:unhideWhenUsed/>
    <w:qFormat/>
    <w:rsid w:val="00951271"/>
    <w:pPr>
      <w:keepNext/>
      <w:keepLines/>
      <w:spacing w:before="280" w:after="80"/>
      <w:outlineLvl w:val="1"/>
    </w:pPr>
    <w:rPr>
      <w:b/>
      <w:color w:val="003594"/>
      <w:sz w:val="24"/>
      <w:szCs w:val="32"/>
    </w:rPr>
  </w:style>
  <w:style w:type="paragraph" w:styleId="Heading3">
    <w:name w:val="heading 3"/>
    <w:basedOn w:val="Normal"/>
    <w:next w:val="Normal"/>
    <w:link w:val="Heading3Char"/>
    <w:uiPriority w:val="9"/>
    <w:unhideWhenUsed/>
    <w:qFormat/>
    <w:rsid w:val="00951271"/>
    <w:pPr>
      <w:keepNext/>
      <w:keepLines/>
      <w:spacing w:before="200"/>
      <w:outlineLvl w:val="2"/>
    </w:pPr>
    <w:rPr>
      <w:b/>
      <w:color w:val="444444"/>
      <w:sz w:val="22"/>
      <w:szCs w:val="28"/>
    </w:rPr>
  </w:style>
  <w:style w:type="paragraph" w:styleId="Heading4">
    <w:name w:val="heading 4"/>
    <w:basedOn w:val="Normal"/>
    <w:next w:val="Normal"/>
    <w:link w:val="Heading4Char"/>
    <w:uiPriority w:val="9"/>
    <w:semiHidden/>
    <w:unhideWhenUsed/>
    <w:qFormat/>
    <w:rsid w:val="00951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271"/>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00951271"/>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271"/>
    <w:rPr>
      <w:rFonts w:ascii="Arial" w:hAnsi="Arial" w:cs="Arial"/>
      <w:b/>
      <w:color w:val="003594"/>
      <w:sz w:val="28"/>
      <w:szCs w:val="40"/>
    </w:rPr>
  </w:style>
  <w:style w:type="character" w:customStyle="1" w:styleId="Heading2Char">
    <w:name w:val="Heading 2 Char"/>
    <w:basedOn w:val="DefaultParagraphFont"/>
    <w:link w:val="Heading2"/>
    <w:uiPriority w:val="9"/>
    <w:rsid w:val="00951271"/>
    <w:rPr>
      <w:rFonts w:ascii="Arial" w:hAnsi="Arial" w:cs="Arial"/>
      <w:b/>
      <w:color w:val="003594"/>
      <w:szCs w:val="32"/>
    </w:rPr>
  </w:style>
  <w:style w:type="character" w:customStyle="1" w:styleId="Heading3Char">
    <w:name w:val="Heading 3 Char"/>
    <w:basedOn w:val="DefaultParagraphFont"/>
    <w:link w:val="Heading3"/>
    <w:uiPriority w:val="9"/>
    <w:rsid w:val="00951271"/>
    <w:rPr>
      <w:rFonts w:ascii="Arial" w:hAnsi="Arial" w:cs="Arial"/>
      <w:b/>
      <w:color w:val="444444"/>
      <w:sz w:val="22"/>
      <w:szCs w:val="28"/>
    </w:rPr>
  </w:style>
  <w:style w:type="character" w:customStyle="1" w:styleId="Heading4Char">
    <w:name w:val="Heading 4 Char"/>
    <w:basedOn w:val="DefaultParagraphFont"/>
    <w:link w:val="Heading4"/>
    <w:uiPriority w:val="9"/>
    <w:semiHidden/>
    <w:rsid w:val="00951271"/>
    <w:rPr>
      <w:rFonts w:ascii="Arial" w:eastAsiaTheme="majorEastAsia" w:hAnsi="Arial" w:cstheme="majorBidi"/>
      <w:i/>
      <w:iCs/>
      <w:color w:val="0F4761" w:themeColor="accent1" w:themeShade="BF"/>
      <w:sz w:val="20"/>
    </w:rPr>
  </w:style>
  <w:style w:type="character" w:customStyle="1" w:styleId="Heading5Char">
    <w:name w:val="Heading 5 Char"/>
    <w:basedOn w:val="DefaultParagraphFont"/>
    <w:link w:val="Heading5"/>
    <w:uiPriority w:val="9"/>
    <w:semiHidden/>
    <w:rsid w:val="00951271"/>
    <w:rPr>
      <w:rFonts w:ascii="Arial" w:eastAsiaTheme="majorEastAsia" w:hAnsi="Arial" w:cstheme="majorBidi"/>
      <w:color w:val="0F4761" w:themeColor="accent1" w:themeShade="BF"/>
      <w:sz w:val="20"/>
    </w:rPr>
  </w:style>
  <w:style w:type="character" w:customStyle="1" w:styleId="Heading6Char">
    <w:name w:val="Heading 6 Char"/>
    <w:basedOn w:val="DefaultParagraphFont"/>
    <w:link w:val="Heading6"/>
    <w:uiPriority w:val="9"/>
    <w:semiHidden/>
    <w:rsid w:val="00951271"/>
    <w:rPr>
      <w:rFonts w:ascii="Arial" w:eastAsiaTheme="majorEastAsia" w:hAnsi="Arial" w:cstheme="majorBidi"/>
      <w:i/>
      <w:iCs/>
      <w:color w:val="595959" w:themeColor="text1" w:themeTint="A6"/>
      <w:sz w:val="20"/>
    </w:rPr>
  </w:style>
  <w:style w:type="character" w:customStyle="1" w:styleId="Heading7Char">
    <w:name w:val="Heading 7 Char"/>
    <w:basedOn w:val="DefaultParagraphFont"/>
    <w:link w:val="Heading7"/>
    <w:uiPriority w:val="9"/>
    <w:semiHidden/>
    <w:rsid w:val="00951271"/>
    <w:rPr>
      <w:rFonts w:ascii="Arial" w:eastAsiaTheme="majorEastAsia" w:hAnsi="Arial" w:cstheme="majorBidi"/>
      <w:color w:val="595959" w:themeColor="text1" w:themeTint="A6"/>
      <w:sz w:val="20"/>
    </w:rPr>
  </w:style>
  <w:style w:type="character" w:customStyle="1" w:styleId="Heading8Char">
    <w:name w:val="Heading 8 Char"/>
    <w:basedOn w:val="DefaultParagraphFont"/>
    <w:link w:val="Heading8"/>
    <w:uiPriority w:val="9"/>
    <w:semiHidden/>
    <w:rsid w:val="00951271"/>
    <w:rPr>
      <w:rFonts w:ascii="Arial" w:eastAsiaTheme="majorEastAsia" w:hAnsi="Arial" w:cstheme="majorBidi"/>
      <w:i/>
      <w:iCs/>
      <w:color w:val="272727"/>
      <w:sz w:val="20"/>
    </w:rPr>
  </w:style>
  <w:style w:type="character" w:customStyle="1" w:styleId="Heading9Char">
    <w:name w:val="Heading 9 Char"/>
    <w:basedOn w:val="DefaultParagraphFont"/>
    <w:link w:val="Heading9"/>
    <w:uiPriority w:val="9"/>
    <w:semiHidden/>
    <w:rsid w:val="00951271"/>
    <w:rPr>
      <w:rFonts w:ascii="Arial" w:eastAsiaTheme="majorEastAsia" w:hAnsi="Arial" w:cstheme="majorBidi"/>
      <w:color w:val="272727"/>
      <w:sz w:val="20"/>
    </w:rPr>
  </w:style>
  <w:style w:type="paragraph" w:styleId="Title">
    <w:name w:val="Title"/>
    <w:basedOn w:val="Normal"/>
    <w:next w:val="Normal"/>
    <w:link w:val="TitleChar"/>
    <w:uiPriority w:val="10"/>
    <w:qFormat/>
    <w:rsid w:val="00951271"/>
    <w:pPr>
      <w:pBdr>
        <w:bottom w:val="single" w:sz="4" w:space="0" w:color="FFB81C"/>
      </w:pBdr>
      <w:spacing w:before="0" w:after="80"/>
      <w:contextualSpacing/>
    </w:pPr>
    <w:rPr>
      <w:b/>
      <w:color w:val="003594"/>
      <w:spacing w:val="-10"/>
      <w:kern w:val="28"/>
      <w:sz w:val="36"/>
      <w:szCs w:val="56"/>
    </w:rPr>
  </w:style>
  <w:style w:type="character" w:customStyle="1" w:styleId="TitleChar">
    <w:name w:val="Title Char"/>
    <w:basedOn w:val="DefaultParagraphFont"/>
    <w:link w:val="Title"/>
    <w:uiPriority w:val="10"/>
    <w:rsid w:val="00951271"/>
    <w:rPr>
      <w:rFonts w:ascii="Arial" w:hAnsi="Arial" w:cs="Arial"/>
      <w:b/>
      <w:color w:val="003594"/>
      <w:spacing w:val="-10"/>
      <w:kern w:val="28"/>
      <w:sz w:val="36"/>
      <w:szCs w:val="56"/>
    </w:rPr>
  </w:style>
  <w:style w:type="paragraph" w:styleId="Subtitle">
    <w:name w:val="Subtitle"/>
    <w:basedOn w:val="Normal"/>
    <w:next w:val="Normal"/>
    <w:link w:val="SubtitleChar"/>
    <w:uiPriority w:val="11"/>
    <w:qFormat/>
    <w:rsid w:val="00951271"/>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951271"/>
    <w:rPr>
      <w:rFonts w:ascii="Arial" w:eastAsiaTheme="majorEastAsia" w:hAnsi="Arial" w:cstheme="majorBidi"/>
      <w:color w:val="595959" w:themeColor="text1" w:themeTint="A6"/>
      <w:sz w:val="28"/>
      <w:szCs w:val="28"/>
    </w:rPr>
  </w:style>
  <w:style w:type="paragraph" w:styleId="Quote">
    <w:name w:val="Quote"/>
    <w:basedOn w:val="Normal"/>
    <w:next w:val="Normal"/>
    <w:link w:val="QuoteChar"/>
    <w:uiPriority w:val="29"/>
    <w:qFormat/>
    <w:rsid w:val="00951271"/>
    <w:pPr>
      <w:spacing w:before="160"/>
      <w:jc w:val="center"/>
    </w:pPr>
    <w:rPr>
      <w:i/>
      <w:iCs/>
      <w:color w:val="404040" w:themeColor="text1" w:themeTint="BF"/>
    </w:rPr>
  </w:style>
  <w:style w:type="character" w:customStyle="1" w:styleId="QuoteChar">
    <w:name w:val="Quote Char"/>
    <w:basedOn w:val="DefaultParagraphFont"/>
    <w:link w:val="Quote"/>
    <w:uiPriority w:val="29"/>
    <w:rsid w:val="00951271"/>
    <w:rPr>
      <w:rFonts w:ascii="Arial" w:hAnsi="Arial" w:cs="Arial"/>
      <w:i/>
      <w:iCs/>
      <w:color w:val="404040" w:themeColor="text1" w:themeTint="BF"/>
      <w:sz w:val="20"/>
    </w:rPr>
  </w:style>
  <w:style w:type="paragraph" w:styleId="ListParagraph">
    <w:name w:val="List Paragraph"/>
    <w:basedOn w:val="Normal"/>
    <w:uiPriority w:val="34"/>
    <w:qFormat/>
    <w:rsid w:val="00951271"/>
    <w:pPr>
      <w:ind w:left="720"/>
      <w:contextualSpacing/>
    </w:pPr>
  </w:style>
  <w:style w:type="character" w:styleId="IntenseEmphasis">
    <w:name w:val="Intense Emphasis"/>
    <w:basedOn w:val="DefaultParagraphFont"/>
    <w:uiPriority w:val="21"/>
    <w:qFormat/>
    <w:rsid w:val="00951271"/>
    <w:rPr>
      <w:i/>
      <w:iCs/>
      <w:color w:val="0F4761" w:themeColor="accent1" w:themeShade="BF"/>
    </w:rPr>
  </w:style>
  <w:style w:type="paragraph" w:styleId="IntenseQuote">
    <w:name w:val="Intense Quote"/>
    <w:basedOn w:val="Normal"/>
    <w:next w:val="Normal"/>
    <w:link w:val="IntenseQuoteChar"/>
    <w:uiPriority w:val="30"/>
    <w:qFormat/>
    <w:rsid w:val="00951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271"/>
    <w:rPr>
      <w:rFonts w:ascii="Arial" w:hAnsi="Arial" w:cs="Arial"/>
      <w:i/>
      <w:iCs/>
      <w:color w:val="0F4761" w:themeColor="accent1" w:themeShade="BF"/>
      <w:sz w:val="20"/>
    </w:rPr>
  </w:style>
  <w:style w:type="character" w:styleId="IntenseReference">
    <w:name w:val="Intense Reference"/>
    <w:basedOn w:val="DefaultParagraphFont"/>
    <w:uiPriority w:val="32"/>
    <w:qFormat/>
    <w:rsid w:val="00951271"/>
    <w:rPr>
      <w:b/>
      <w:bCs/>
      <w:smallCaps/>
      <w:color w:val="0F4761" w:themeColor="accent1" w:themeShade="BF"/>
      <w:spacing w:val="5"/>
    </w:rPr>
  </w:style>
  <w:style w:type="paragraph" w:styleId="Header">
    <w:name w:val="header"/>
    <w:basedOn w:val="Normal"/>
    <w:link w:val="HeaderChar"/>
    <w:uiPriority w:val="99"/>
    <w:unhideWhenUsed/>
    <w:rsid w:val="00951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271"/>
    <w:rPr>
      <w:rFonts w:ascii="Arial" w:hAnsi="Arial" w:cs="Arial"/>
      <w:color w:val="333333"/>
      <w:sz w:val="20"/>
    </w:rPr>
  </w:style>
  <w:style w:type="paragraph" w:styleId="Footer">
    <w:name w:val="footer"/>
    <w:basedOn w:val="Normal"/>
    <w:link w:val="FooterChar"/>
    <w:uiPriority w:val="99"/>
    <w:unhideWhenUsed/>
    <w:rsid w:val="00951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271"/>
    <w:rPr>
      <w:rFonts w:ascii="Arial" w:hAnsi="Arial" w:cs="Arial"/>
      <w:color w:val="333333"/>
      <w:sz w:val="20"/>
    </w:rPr>
  </w:style>
  <w:style w:type="paragraph" w:styleId="ListBullet">
    <w:name w:val="List Bullet"/>
    <w:basedOn w:val="Normal"/>
    <w:uiPriority w:val="99"/>
    <w:unhideWhenUsed/>
    <w:rsid w:val="00951271"/>
    <w:pPr>
      <w:numPr>
        <w:numId w:val="1"/>
      </w:numPr>
      <w:contextualSpacing/>
    </w:pPr>
  </w:style>
  <w:style w:type="table" w:styleId="TableGrid">
    <w:name w:val="Table Grid"/>
    <w:basedOn w:val="TableNormal"/>
    <w:uiPriority w:val="39"/>
    <w:rsid w:val="00951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1271"/>
    <w:rPr>
      <w:color w:val="467886" w:themeColor="hyperlink"/>
      <w:u w:val="single"/>
    </w:rPr>
  </w:style>
  <w:style w:type="character" w:styleId="UnresolvedMention">
    <w:name w:val="Unresolved Mention"/>
    <w:basedOn w:val="DefaultParagraphFont"/>
    <w:uiPriority w:val="99"/>
    <w:semiHidden/>
    <w:unhideWhenUsed/>
    <w:rsid w:val="00951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r.pitt.edu/retirees/retiree-status-eligibility" TargetMode="External"/><Relationship Id="rId18" Type="http://schemas.openxmlformats.org/officeDocument/2006/relationships/hyperlink" Target="https://www.hr.pitt.edu/current-employees/benefits/retirement-savings-plan/noncontributory" TargetMode="External"/><Relationship Id="rId3" Type="http://schemas.openxmlformats.org/officeDocument/2006/relationships/customXml" Target="../customXml/item3.xml"/><Relationship Id="rId21" Type="http://schemas.openxmlformats.org/officeDocument/2006/relationships/hyperlink" Target="https://www.hr.pitt.edu/retirement-readiness" TargetMode="External"/><Relationship Id="rId7" Type="http://schemas.openxmlformats.org/officeDocument/2006/relationships/webSettings" Target="webSettings.xml"/><Relationship Id="rId12" Type="http://schemas.openxmlformats.org/officeDocument/2006/relationships/hyperlink" Target="https://www.hr.pitt.edu/sites/default/files/StepsTowardRetirementChecklist_Master2024.pdf" TargetMode="External"/><Relationship Id="rId17" Type="http://schemas.openxmlformats.org/officeDocument/2006/relationships/hyperlink" Target="https://www.hr.pitt.edu/current-employees/benefits/retirement-savings-plan/defined-contribution" TargetMode="External"/><Relationship Id="rId2" Type="http://schemas.openxmlformats.org/officeDocument/2006/relationships/customXml" Target="../customXml/item2.xml"/><Relationship Id="rId16" Type="http://schemas.openxmlformats.org/officeDocument/2006/relationships/hyperlink" Target="https://www.hr.pitt.edu/retirees/defined-dollar-benefit-plan" TargetMode="External"/><Relationship Id="rId20" Type="http://schemas.openxmlformats.org/officeDocument/2006/relationships/hyperlink" Target="https://www.tiaa.org/webina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r.pitt.edu/retirees" TargetMode="External"/><Relationship Id="rId5" Type="http://schemas.openxmlformats.org/officeDocument/2006/relationships/styles" Target="styles.xml"/><Relationship Id="rId15" Type="http://schemas.openxmlformats.org/officeDocument/2006/relationships/hyperlink" Target="https://www.hr.pitt.edu/retirees/post-65-coverage" TargetMode="External"/><Relationship Id="rId23" Type="http://schemas.openxmlformats.org/officeDocument/2006/relationships/theme" Target="theme/theme1.xml"/><Relationship Id="rId10" Type="http://schemas.openxmlformats.org/officeDocument/2006/relationships/hyperlink" Target="https://www.hr.pitt.edu/contact-ohr" TargetMode="External"/><Relationship Id="rId19" Type="http://schemas.openxmlformats.org/officeDocument/2006/relationships/hyperlink" Target="https://www.hr.pitt.edu/retirees/helpful-t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r.pitt.edu/retirees/pre-65-coverag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1"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53E339D-EC2A-4266-8E37-FBB409ACD239}">
  <we:reference id="WA200010725" version="1.0.0.1" store="Omex" storeType="OMEX"/>
  <we:alternateReferences>
    <we:reference id="WA200010725" version="1.0.0.1" store="WA200010725" storeType="OMEX"/>
  </we:alternateReferences>
  <we:properties>
    <we:property name="claude.fileId" value="&quot;6e3c91dc-0b78-429c-9bc7-d5382782fc2f&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9fd093cf-4d2e-418d-8639-61261fe34d57">
  <we:reference id="WA200010725" version="1.0.0.1" store="en-us" storeType="omex"/>
  <we:alternateReferences>
    <we:reference id="WA200010725" version="1.0.0.1" store="en-us" storeType="omex"/>
  </we:alternateReferences>
  <we:properties>
    <we:property name="claude.fileId" value="&quot;6e3c91dc-0b78-429c-9bc7-d5382782fc2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D1810-C40C-4CC3-AFB4-30243C35C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58704-C8E1-4687-940F-653F1CAEE45E}">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customXml/itemProps3.xml><?xml version="1.0" encoding="utf-8"?>
<ds:datastoreItem xmlns:ds="http://schemas.openxmlformats.org/officeDocument/2006/customXml" ds:itemID="{01D0D7E5-C4C4-4D32-A011-9EF162BF98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1203</Words>
  <Characters>6862</Characters>
  <Application>Microsoft Office Word</Application>
  <DocSecurity>0</DocSecurity>
  <Lines>57</Lines>
  <Paragraphs>16</Paragraphs>
  <ScaleCrop>false</ScaleCrop>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Session6_Retirement Readiness_Summary</dc:title>
  <dc:subject>Retirement Readiness</dc:subject>
  <dc:creator>University of Pittsburgh Office of Human Resources</dc:creator>
  <cp:keywords/>
  <dc:description/>
  <cp:lastModifiedBy>Zurowski, Laura P</cp:lastModifiedBy>
  <cp:revision>2</cp:revision>
  <cp:lastPrinted>2026-09-30T14:52:00Z</cp:lastPrinted>
  <dcterms:created xsi:type="dcterms:W3CDTF">2026-10-08T20:18:00Z</dcterms:created>
  <dcterms:modified xsi:type="dcterms:W3CDTF">2026-10-08T20:18:00Z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