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0E31A" w14:textId="5080C9FA" w:rsidR="589F2FE8" w:rsidRDefault="589F2FE8" w:rsidP="7BBB6AE0">
      <w:pPr>
        <w:spacing w:before="60" w:after="60" w:line="260" w:lineRule="atLeast"/>
      </w:pPr>
      <w:r w:rsidRPr="00E72255">
        <w:rPr>
          <w:rFonts w:ascii="Arial" w:eastAsia="Arial" w:hAnsi="Arial" w:cs="Arial"/>
          <w:sz w:val="20"/>
          <w:szCs w:val="20"/>
        </w:rPr>
        <w:t>Retirement Readiness Series</w:t>
      </w:r>
    </w:p>
    <w:p w14:paraId="7EBAD8AD" w14:textId="27E9FE0E" w:rsidR="7BBB6AE0" w:rsidRDefault="7BBB6AE0" w:rsidP="7BBB6AE0"/>
    <w:p w14:paraId="14693E4F" w14:textId="4365D0AE" w:rsidR="006E0ABB" w:rsidRPr="006E0ABB" w:rsidRDefault="5CF7B324" w:rsidP="2C0C93DD">
      <w:pPr>
        <w:pStyle w:val="Title"/>
        <w:spacing w:after="120"/>
        <w:rPr>
          <w:rFonts w:ascii="Arial" w:hAnsi="Arial" w:cs="Arial"/>
          <w:b/>
          <w:bCs/>
          <w:color w:val="003594"/>
          <w:sz w:val="36"/>
          <w:szCs w:val="36"/>
        </w:rPr>
      </w:pPr>
      <w:r w:rsidRPr="2C0C93DD">
        <w:rPr>
          <w:rFonts w:ascii="Arial" w:hAnsi="Arial" w:cs="Arial"/>
          <w:b/>
          <w:bCs/>
          <w:color w:val="003594"/>
          <w:sz w:val="36"/>
          <w:szCs w:val="36"/>
        </w:rPr>
        <w:t>Retirement Readiness: Income, Savings &amp; Financial Plann</w:t>
      </w:r>
    </w:p>
    <w:p w14:paraId="13E17EEF" w14:textId="4CCF450E" w:rsidR="006E0ABB" w:rsidRPr="006E0ABB" w:rsidRDefault="13892A7C" w:rsidP="006E0ABB">
      <w:pPr>
        <w:spacing w:before="60" w:after="60"/>
      </w:pPr>
      <w:r w:rsidRPr="7BBB6AE0">
        <w:rPr>
          <w:rFonts w:ascii="Arial" w:hAnsi="Arial" w:cs="Arial"/>
          <w:color w:val="555555"/>
          <w:sz w:val="18"/>
          <w:szCs w:val="18"/>
        </w:rPr>
        <w:t>This sheet summarizes the Pitt Benefits Department portion of the deck as presented. The TIAA guest-speaker segment is not reproduced. IRS limits shown are for 2026; official plan documents govern (see Disclosure).</w:t>
      </w:r>
    </w:p>
    <w:p w14:paraId="430D0BEF" w14:textId="2092748A" w:rsidR="7BBB6AE0" w:rsidRDefault="7BBB6AE0" w:rsidP="7BBB6AE0">
      <w:pPr>
        <w:rPr>
          <w:rFonts w:ascii="Arial" w:eastAsia="Arial" w:hAnsi="Arial" w:cs="Arial"/>
          <w:color w:val="333333"/>
          <w:sz w:val="20"/>
          <w:szCs w:val="20"/>
        </w:rPr>
      </w:pPr>
    </w:p>
    <w:p w14:paraId="77A2C7FB" w14:textId="3ADEE8E9"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 xml:space="preserve">1. Pitt’s Four Retirement Savings Plans </w:t>
      </w:r>
      <w:proofErr w:type="gramStart"/>
      <w:r w:rsidRPr="006E0ABB">
        <w:rPr>
          <w:rFonts w:ascii="Arial" w:hAnsi="Arial" w:cs="Arial"/>
          <w:b/>
          <w:color w:val="003594"/>
          <w:sz w:val="28"/>
        </w:rPr>
        <w:t>at a Glance</w:t>
      </w:r>
      <w:proofErr w:type="gramEnd"/>
    </w:p>
    <w:p w14:paraId="7539BE94" w14:textId="435122BC"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Pitt offers a Defined Contribution program governed under IRS plan types 403(b), 401(a), and 457(b). Employees with grandfathered eligibility may also participate in the Noncontributory Defined Benefit Pension Plan.</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299"/>
        <w:gridCol w:w="3476"/>
        <w:gridCol w:w="2597"/>
        <w:gridCol w:w="1698"/>
      </w:tblGrid>
      <w:tr w:rsidR="006E0ABB" w14:paraId="159597BE" w14:textId="77777777" w:rsidTr="7BBB6AE0">
        <w:trPr>
          <w:tblHeader/>
        </w:trPr>
        <w:tc>
          <w:tcPr>
            <w:tcW w:w="2300" w:type="dxa"/>
            <w:shd w:val="clear" w:color="auto" w:fill="003594"/>
            <w:tcMar>
              <w:top w:w="60" w:type="dxa"/>
              <w:left w:w="120" w:type="dxa"/>
              <w:bottom w:w="60" w:type="dxa"/>
              <w:right w:w="120" w:type="dxa"/>
            </w:tcMar>
          </w:tcPr>
          <w:p w14:paraId="5BDE9FA6" w14:textId="3399E421"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Plan</w:t>
            </w:r>
          </w:p>
        </w:tc>
        <w:tc>
          <w:tcPr>
            <w:tcW w:w="3480" w:type="dxa"/>
            <w:shd w:val="clear" w:color="auto" w:fill="003594"/>
            <w:tcMar>
              <w:top w:w="60" w:type="dxa"/>
              <w:left w:w="120" w:type="dxa"/>
              <w:bottom w:w="60" w:type="dxa"/>
              <w:right w:w="120" w:type="dxa"/>
            </w:tcMar>
          </w:tcPr>
          <w:p w14:paraId="069F7821" w14:textId="31D18F1F"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IRS code(s)</w:t>
            </w:r>
          </w:p>
        </w:tc>
        <w:tc>
          <w:tcPr>
            <w:tcW w:w="2600" w:type="dxa"/>
            <w:shd w:val="clear" w:color="auto" w:fill="003594"/>
            <w:tcMar>
              <w:top w:w="60" w:type="dxa"/>
              <w:left w:w="120" w:type="dxa"/>
              <w:bottom w:w="60" w:type="dxa"/>
              <w:right w:w="120" w:type="dxa"/>
            </w:tcMar>
          </w:tcPr>
          <w:p w14:paraId="2ED02EC8" w14:textId="4F6C5687"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Who contributes</w:t>
            </w:r>
          </w:p>
        </w:tc>
        <w:tc>
          <w:tcPr>
            <w:tcW w:w="1700" w:type="dxa"/>
            <w:shd w:val="clear" w:color="auto" w:fill="003594"/>
            <w:tcMar>
              <w:top w:w="60" w:type="dxa"/>
              <w:left w:w="120" w:type="dxa"/>
              <w:bottom w:w="60" w:type="dxa"/>
              <w:right w:w="120" w:type="dxa"/>
            </w:tcMar>
          </w:tcPr>
          <w:p w14:paraId="039F6941" w14:textId="0A4050B6"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Plan vendor</w:t>
            </w:r>
          </w:p>
        </w:tc>
      </w:tr>
      <w:tr w:rsidR="006E0ABB" w14:paraId="467C8C3D" w14:textId="77777777" w:rsidTr="7BBB6AE0">
        <w:tc>
          <w:tcPr>
            <w:tcW w:w="2300" w:type="dxa"/>
            <w:shd w:val="clear" w:color="auto" w:fill="D6E4F7"/>
            <w:tcMar>
              <w:top w:w="60" w:type="dxa"/>
              <w:left w:w="120" w:type="dxa"/>
              <w:bottom w:w="60" w:type="dxa"/>
              <w:right w:w="120" w:type="dxa"/>
            </w:tcMar>
          </w:tcPr>
          <w:p w14:paraId="26EAFF2F" w14:textId="60651D86"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Universal Availability</w:t>
            </w:r>
          </w:p>
        </w:tc>
        <w:tc>
          <w:tcPr>
            <w:tcW w:w="3480" w:type="dxa"/>
            <w:shd w:val="clear" w:color="auto" w:fill="FFFFFF" w:themeFill="background1"/>
            <w:tcMar>
              <w:top w:w="60" w:type="dxa"/>
              <w:left w:w="120" w:type="dxa"/>
              <w:bottom w:w="60" w:type="dxa"/>
              <w:right w:w="120" w:type="dxa"/>
            </w:tcMar>
          </w:tcPr>
          <w:p w14:paraId="204C7987" w14:textId="222A7B7E"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403(b) Supplemental (non-matched); IRS limits apply, such as the 402(g) limit</w:t>
            </w:r>
          </w:p>
        </w:tc>
        <w:tc>
          <w:tcPr>
            <w:tcW w:w="2600" w:type="dxa"/>
            <w:shd w:val="clear" w:color="auto" w:fill="FFFFFF" w:themeFill="background1"/>
            <w:tcMar>
              <w:top w:w="60" w:type="dxa"/>
              <w:left w:w="120" w:type="dxa"/>
              <w:bottom w:w="60" w:type="dxa"/>
              <w:right w:w="120" w:type="dxa"/>
            </w:tcMar>
          </w:tcPr>
          <w:p w14:paraId="30DF0683" w14:textId="52D05422"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Employee only</w:t>
            </w:r>
          </w:p>
        </w:tc>
        <w:tc>
          <w:tcPr>
            <w:tcW w:w="1700" w:type="dxa"/>
            <w:shd w:val="clear" w:color="auto" w:fill="FFFFFF" w:themeFill="background1"/>
            <w:tcMar>
              <w:top w:w="60" w:type="dxa"/>
              <w:left w:w="120" w:type="dxa"/>
              <w:bottom w:w="60" w:type="dxa"/>
              <w:right w:w="120" w:type="dxa"/>
            </w:tcMar>
          </w:tcPr>
          <w:p w14:paraId="77099A97" w14:textId="1D388182"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TIAA</w:t>
            </w:r>
          </w:p>
        </w:tc>
      </w:tr>
      <w:tr w:rsidR="006E0ABB" w14:paraId="218A3547" w14:textId="77777777" w:rsidTr="7BBB6AE0">
        <w:tc>
          <w:tcPr>
            <w:tcW w:w="2300" w:type="dxa"/>
            <w:shd w:val="clear" w:color="auto" w:fill="D6E4F7"/>
            <w:tcMar>
              <w:top w:w="60" w:type="dxa"/>
              <w:left w:w="120" w:type="dxa"/>
              <w:bottom w:w="60" w:type="dxa"/>
              <w:right w:w="120" w:type="dxa"/>
            </w:tcMar>
          </w:tcPr>
          <w:p w14:paraId="331CE3E4" w14:textId="1BCD13F2"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Defined Contribution Matching Plan</w:t>
            </w:r>
          </w:p>
        </w:tc>
        <w:tc>
          <w:tcPr>
            <w:tcW w:w="3480" w:type="dxa"/>
            <w:shd w:val="clear" w:color="auto" w:fill="FFFFFF" w:themeFill="background1"/>
            <w:tcMar>
              <w:top w:w="60" w:type="dxa"/>
              <w:left w:w="120" w:type="dxa"/>
              <w:bottom w:w="60" w:type="dxa"/>
              <w:right w:w="120" w:type="dxa"/>
            </w:tcMar>
          </w:tcPr>
          <w:p w14:paraId="765F7299" w14:textId="2582FBD7"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403(b) Match Eligible (3–8%); 403(b) Supplemental (non-matched); 401(a) Employer Matching Contributions</w:t>
            </w:r>
          </w:p>
        </w:tc>
        <w:tc>
          <w:tcPr>
            <w:tcW w:w="2600" w:type="dxa"/>
            <w:shd w:val="clear" w:color="auto" w:fill="FFFFFF" w:themeFill="background1"/>
            <w:tcMar>
              <w:top w:w="60" w:type="dxa"/>
              <w:left w:w="120" w:type="dxa"/>
              <w:bottom w:w="60" w:type="dxa"/>
              <w:right w:w="120" w:type="dxa"/>
            </w:tcMar>
          </w:tcPr>
          <w:p w14:paraId="46BC5071" w14:textId="2D04212D"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Employee 403(b) and University 401(a) match</w:t>
            </w:r>
          </w:p>
        </w:tc>
        <w:tc>
          <w:tcPr>
            <w:tcW w:w="1700" w:type="dxa"/>
            <w:shd w:val="clear" w:color="auto" w:fill="FFFFFF" w:themeFill="background1"/>
            <w:tcMar>
              <w:top w:w="60" w:type="dxa"/>
              <w:left w:w="120" w:type="dxa"/>
              <w:bottom w:w="60" w:type="dxa"/>
              <w:right w:w="120" w:type="dxa"/>
            </w:tcMar>
          </w:tcPr>
          <w:p w14:paraId="4166D871" w14:textId="12798C6C"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TIAA</w:t>
            </w:r>
          </w:p>
        </w:tc>
      </w:tr>
      <w:tr w:rsidR="006E0ABB" w14:paraId="1B0EF596" w14:textId="77777777" w:rsidTr="7BBB6AE0">
        <w:tc>
          <w:tcPr>
            <w:tcW w:w="2300" w:type="dxa"/>
            <w:shd w:val="clear" w:color="auto" w:fill="D6E4F7"/>
            <w:tcMar>
              <w:top w:w="60" w:type="dxa"/>
              <w:left w:w="120" w:type="dxa"/>
              <w:bottom w:w="60" w:type="dxa"/>
              <w:right w:w="120" w:type="dxa"/>
            </w:tcMar>
          </w:tcPr>
          <w:p w14:paraId="4E2AB08C" w14:textId="5C0CD33D"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457(b) Supplemental Plan</w:t>
            </w:r>
          </w:p>
        </w:tc>
        <w:tc>
          <w:tcPr>
            <w:tcW w:w="3480" w:type="dxa"/>
            <w:shd w:val="clear" w:color="auto" w:fill="FFFFFF" w:themeFill="background1"/>
            <w:tcMar>
              <w:top w:w="60" w:type="dxa"/>
              <w:left w:w="120" w:type="dxa"/>
              <w:bottom w:w="60" w:type="dxa"/>
              <w:right w:w="120" w:type="dxa"/>
            </w:tcMar>
          </w:tcPr>
          <w:p w14:paraId="56C3B6D6" w14:textId="7310BA5A"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457(b) Supplemental (non-matched)</w:t>
            </w:r>
          </w:p>
        </w:tc>
        <w:tc>
          <w:tcPr>
            <w:tcW w:w="2600" w:type="dxa"/>
            <w:shd w:val="clear" w:color="auto" w:fill="FFFFFF" w:themeFill="background1"/>
            <w:tcMar>
              <w:top w:w="60" w:type="dxa"/>
              <w:left w:w="120" w:type="dxa"/>
              <w:bottom w:w="60" w:type="dxa"/>
              <w:right w:w="120" w:type="dxa"/>
            </w:tcMar>
          </w:tcPr>
          <w:p w14:paraId="2D4A10A0" w14:textId="63C9FDD0"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Employee only</w:t>
            </w:r>
          </w:p>
        </w:tc>
        <w:tc>
          <w:tcPr>
            <w:tcW w:w="1700" w:type="dxa"/>
            <w:shd w:val="clear" w:color="auto" w:fill="FFFFFF" w:themeFill="background1"/>
            <w:tcMar>
              <w:top w:w="60" w:type="dxa"/>
              <w:left w:w="120" w:type="dxa"/>
              <w:bottom w:w="60" w:type="dxa"/>
              <w:right w:w="120" w:type="dxa"/>
            </w:tcMar>
          </w:tcPr>
          <w:p w14:paraId="0D6C9EA6" w14:textId="571AFCC9"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TIAA</w:t>
            </w:r>
          </w:p>
        </w:tc>
      </w:tr>
      <w:tr w:rsidR="006E0ABB" w14:paraId="21397067" w14:textId="77777777" w:rsidTr="7BBB6AE0">
        <w:tc>
          <w:tcPr>
            <w:tcW w:w="2300" w:type="dxa"/>
            <w:shd w:val="clear" w:color="auto" w:fill="D6E4F7"/>
            <w:tcMar>
              <w:top w:w="60" w:type="dxa"/>
              <w:left w:w="120" w:type="dxa"/>
              <w:bottom w:w="60" w:type="dxa"/>
              <w:right w:w="120" w:type="dxa"/>
            </w:tcMar>
          </w:tcPr>
          <w:p w14:paraId="27F04692" w14:textId="41609E42"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Noncontributory Defined Benefit Pension Plan</w:t>
            </w:r>
          </w:p>
        </w:tc>
        <w:tc>
          <w:tcPr>
            <w:tcW w:w="3480" w:type="dxa"/>
            <w:shd w:val="clear" w:color="auto" w:fill="FFFFFF" w:themeFill="background1"/>
            <w:tcMar>
              <w:top w:w="60" w:type="dxa"/>
              <w:left w:w="120" w:type="dxa"/>
              <w:bottom w:w="60" w:type="dxa"/>
              <w:right w:w="120" w:type="dxa"/>
            </w:tcMar>
          </w:tcPr>
          <w:p w14:paraId="47D02907" w14:textId="32A431C1"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IRS section 401 and Publication 575</w:t>
            </w:r>
          </w:p>
        </w:tc>
        <w:tc>
          <w:tcPr>
            <w:tcW w:w="2600" w:type="dxa"/>
            <w:shd w:val="clear" w:color="auto" w:fill="FFFFFF" w:themeFill="background1"/>
            <w:tcMar>
              <w:top w:w="60" w:type="dxa"/>
              <w:left w:w="120" w:type="dxa"/>
              <w:bottom w:w="60" w:type="dxa"/>
              <w:right w:w="120" w:type="dxa"/>
            </w:tcMar>
          </w:tcPr>
          <w:p w14:paraId="17C2D127" w14:textId="6015828B"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University only (closed to new participants after 2015)</w:t>
            </w:r>
          </w:p>
        </w:tc>
        <w:tc>
          <w:tcPr>
            <w:tcW w:w="1700" w:type="dxa"/>
            <w:shd w:val="clear" w:color="auto" w:fill="FFFFFF" w:themeFill="background1"/>
            <w:tcMar>
              <w:top w:w="60" w:type="dxa"/>
              <w:left w:w="120" w:type="dxa"/>
              <w:bottom w:w="60" w:type="dxa"/>
              <w:right w:w="120" w:type="dxa"/>
            </w:tcMar>
          </w:tcPr>
          <w:p w14:paraId="27DE9651" w14:textId="343DE8A3"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Pension Center</w:t>
            </w:r>
          </w:p>
        </w:tc>
      </w:tr>
    </w:tbl>
    <w:p w14:paraId="2EBC2F9D" w14:textId="77777777" w:rsidR="006E0ABB" w:rsidRPr="006E0ABB" w:rsidRDefault="006E0ABB" w:rsidP="006E0ABB">
      <w:pPr>
        <w:spacing w:after="0"/>
        <w:rPr>
          <w:rFonts w:ascii="Arial" w:hAnsi="Arial" w:cs="Arial"/>
          <w:color w:val="333333"/>
          <w:sz w:val="8"/>
        </w:rPr>
      </w:pPr>
    </w:p>
    <w:p w14:paraId="4E3B1DF6" w14:textId="4CF93617"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2. Universal Availability — 403(b)</w:t>
      </w:r>
    </w:p>
    <w:p w14:paraId="13584040" w14:textId="3BA59943"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 xml:space="preserve">Gives eligible employees the opportunity to save for retirement through supplemental pre-tax and Roth (after-tax) 403(b) contributions, without a </w:t>
      </w:r>
      <w:proofErr w:type="gramStart"/>
      <w:r w:rsidRPr="006E0ABB">
        <w:rPr>
          <w:rFonts w:ascii="Arial" w:hAnsi="Arial" w:cs="Arial"/>
          <w:color w:val="333333"/>
          <w:sz w:val="20"/>
        </w:rPr>
        <w:t>University</w:t>
      </w:r>
      <w:proofErr w:type="gramEnd"/>
      <w:r w:rsidRPr="006E0ABB">
        <w:rPr>
          <w:rFonts w:ascii="Arial" w:hAnsi="Arial" w:cs="Arial"/>
          <w:color w:val="333333"/>
          <w:sz w:val="20"/>
        </w:rPr>
        <w:t xml:space="preserve"> matching contribution.</w:t>
      </w:r>
    </w:p>
    <w:p w14:paraId="165C09B4" w14:textId="63ED0891"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Who is eligible</w:t>
      </w:r>
    </w:p>
    <w:p w14:paraId="0968AF0E" w14:textId="10105261"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 xml:space="preserve">Most </w:t>
      </w:r>
      <w:proofErr w:type="gramStart"/>
      <w:r w:rsidRPr="006E0ABB">
        <w:rPr>
          <w:rFonts w:ascii="Arial" w:hAnsi="Arial" w:cs="Arial"/>
          <w:color w:val="333333"/>
          <w:sz w:val="20"/>
        </w:rPr>
        <w:t>employees who</w:t>
      </w:r>
      <w:proofErr w:type="gramEnd"/>
      <w:r w:rsidRPr="006E0ABB">
        <w:rPr>
          <w:rFonts w:ascii="Arial" w:hAnsi="Arial" w:cs="Arial"/>
          <w:color w:val="333333"/>
          <w:sz w:val="20"/>
        </w:rPr>
        <w:t xml:space="preserve"> receive compensation reportable on </w:t>
      </w:r>
      <w:proofErr w:type="gramStart"/>
      <w:r w:rsidRPr="006E0ABB">
        <w:rPr>
          <w:rFonts w:ascii="Arial" w:hAnsi="Arial" w:cs="Arial"/>
          <w:color w:val="333333"/>
          <w:sz w:val="20"/>
        </w:rPr>
        <w:t>an IRS</w:t>
      </w:r>
      <w:proofErr w:type="gramEnd"/>
      <w:r w:rsidRPr="006E0ABB">
        <w:rPr>
          <w:rFonts w:ascii="Arial" w:hAnsi="Arial" w:cs="Arial"/>
          <w:color w:val="333333"/>
          <w:sz w:val="20"/>
        </w:rPr>
        <w:t xml:space="preserve"> Form W-2, including staff, faculty, post-doctoral associates, and </w:t>
      </w:r>
      <w:proofErr w:type="spellStart"/>
      <w:r w:rsidRPr="006E0ABB">
        <w:rPr>
          <w:rFonts w:ascii="Arial" w:hAnsi="Arial" w:cs="Arial"/>
          <w:color w:val="333333"/>
          <w:sz w:val="20"/>
        </w:rPr>
        <w:t>AllTemps</w:t>
      </w:r>
      <w:proofErr w:type="spellEnd"/>
      <w:r w:rsidRPr="006E0ABB">
        <w:rPr>
          <w:rFonts w:ascii="Arial" w:hAnsi="Arial" w:cs="Arial"/>
          <w:color w:val="333333"/>
          <w:sz w:val="20"/>
        </w:rPr>
        <w:t>.</w:t>
      </w:r>
    </w:p>
    <w:p w14:paraId="3FE77625" w14:textId="2DAC392B"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Not eligible:</w:t>
      </w:r>
      <w:r w:rsidRPr="3E437E34">
        <w:rPr>
          <w:rFonts w:ascii="Arial" w:hAnsi="Arial" w:cs="Arial"/>
          <w:color w:val="333333"/>
          <w:sz w:val="20"/>
          <w:szCs w:val="20"/>
        </w:rPr>
        <w:t xml:space="preserve"> nonresident aliens with no US-source income, post-doctoral scholars, students, certificates, and fellows.</w:t>
      </w:r>
    </w:p>
    <w:p w14:paraId="5357B12A" w14:textId="663480A2"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Why it matters</w:t>
      </w:r>
    </w:p>
    <w:p w14:paraId="7C41D64A" w14:textId="04C6C56E"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An opportunity for eligible employees to save for retirement — especially for those not eligible for the Defined Contribution Matching Plan or the 457(b) plan.</w:t>
      </w:r>
    </w:p>
    <w:p w14:paraId="433665BD" w14:textId="18E9EE70" w:rsidR="006E0ABB" w:rsidRPr="006E0ABB" w:rsidRDefault="17B26621" w:rsidP="3E437E34">
      <w:pPr>
        <w:pStyle w:val="ListBullet"/>
        <w:spacing w:before="40" w:after="40"/>
      </w:pPr>
      <w:r w:rsidRPr="7BBB6AE0">
        <w:rPr>
          <w:rFonts w:ascii="Arial" w:hAnsi="Arial" w:cs="Arial"/>
          <w:b/>
          <w:bCs/>
          <w:color w:val="333333"/>
          <w:sz w:val="20"/>
          <w:szCs w:val="20"/>
        </w:rPr>
        <w:t>Learn more:</w:t>
      </w:r>
      <w:r w:rsidRPr="7BBB6AE0">
        <w:rPr>
          <w:rFonts w:ascii="Arial" w:hAnsi="Arial" w:cs="Arial"/>
          <w:color w:val="333333"/>
          <w:sz w:val="20"/>
          <w:szCs w:val="20"/>
        </w:rPr>
        <w:t xml:space="preserve"> the Universal Availability Notice (AvailabilityNotice.pdf) and the OHR Retirement Savings Plan webpage.</w:t>
      </w:r>
    </w:p>
    <w:p w14:paraId="6402A494" w14:textId="659D2345" w:rsidR="7BBB6AE0" w:rsidRDefault="7BBB6AE0" w:rsidP="7BBB6AE0">
      <w:pPr>
        <w:rPr>
          <w:rFonts w:ascii="Arial" w:eastAsia="Arial" w:hAnsi="Arial" w:cs="Arial"/>
          <w:color w:val="333333"/>
          <w:sz w:val="20"/>
          <w:szCs w:val="20"/>
        </w:rPr>
      </w:pPr>
    </w:p>
    <w:p w14:paraId="2AA471AA" w14:textId="01A95CEE"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3. Defined Contribution Matching Plan — 403(b) + 401(a)</w:t>
      </w:r>
    </w:p>
    <w:p w14:paraId="23CF155D" w14:textId="5A73581E"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 xml:space="preserve">Eligible employees save through a </w:t>
      </w:r>
      <w:proofErr w:type="gramStart"/>
      <w:r w:rsidRPr="006E0ABB">
        <w:rPr>
          <w:rFonts w:ascii="Arial" w:hAnsi="Arial" w:cs="Arial"/>
          <w:color w:val="333333"/>
          <w:sz w:val="20"/>
        </w:rPr>
        <w:t>403(b) employee</w:t>
      </w:r>
      <w:proofErr w:type="gramEnd"/>
      <w:r w:rsidRPr="006E0ABB">
        <w:rPr>
          <w:rFonts w:ascii="Arial" w:hAnsi="Arial" w:cs="Arial"/>
          <w:color w:val="333333"/>
          <w:sz w:val="20"/>
        </w:rPr>
        <w:t xml:space="preserve"> contribution, and the University adds a </w:t>
      </w:r>
      <w:proofErr w:type="gramStart"/>
      <w:r w:rsidRPr="006E0ABB">
        <w:rPr>
          <w:rFonts w:ascii="Arial" w:hAnsi="Arial" w:cs="Arial"/>
          <w:color w:val="333333"/>
          <w:sz w:val="20"/>
        </w:rPr>
        <w:t>401(a) employer</w:t>
      </w:r>
      <w:proofErr w:type="gramEnd"/>
      <w:r w:rsidRPr="006E0ABB">
        <w:rPr>
          <w:rFonts w:ascii="Arial" w:hAnsi="Arial" w:cs="Arial"/>
          <w:color w:val="333333"/>
          <w:sz w:val="20"/>
        </w:rPr>
        <w:t xml:space="preserve"> matching contribution on 3–8% of base salary, if elected.</w:t>
      </w:r>
    </w:p>
    <w:p w14:paraId="579B3981" w14:textId="78F9EEA4"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lastRenderedPageBreak/>
        <w:t>Who is eligible</w:t>
      </w:r>
    </w:p>
    <w:p w14:paraId="1A989D3E" w14:textId="6BD50BB8"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Full-time regular faculty, librarians, research associates, and staff (non-union).</w:t>
      </w:r>
    </w:p>
    <w:p w14:paraId="22961B10" w14:textId="7398FB3E"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Part-time faculty in the tenure stream or tenured for no less than 50% effort.</w:t>
      </w:r>
    </w:p>
    <w:p w14:paraId="392E3764" w14:textId="3D0FB837"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Part-time regular staff (non-union).</w:t>
      </w:r>
    </w:p>
    <w:p w14:paraId="6929C90B" w14:textId="031295EC"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Union employees as stated in their Collective Bargaining Agreement.</w:t>
      </w:r>
    </w:p>
    <w:p w14:paraId="6BD125F8" w14:textId="51AA8903"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Advantages</w:t>
      </w:r>
    </w:p>
    <w:p w14:paraId="28098A19" w14:textId="11039C81" w:rsidR="006E0ABB" w:rsidRPr="006E0ABB" w:rsidRDefault="006E0ABB" w:rsidP="006E0ABB">
      <w:pPr>
        <w:pStyle w:val="ListBullet"/>
        <w:spacing w:before="40" w:after="40"/>
        <w:rPr>
          <w:rFonts w:ascii="Arial" w:hAnsi="Arial" w:cs="Arial"/>
          <w:color w:val="333333"/>
          <w:sz w:val="20"/>
        </w:rPr>
      </w:pPr>
      <w:proofErr w:type="gramStart"/>
      <w:r w:rsidRPr="006E0ABB">
        <w:rPr>
          <w:rFonts w:ascii="Arial" w:hAnsi="Arial" w:cs="Arial"/>
          <w:color w:val="333333"/>
          <w:sz w:val="20"/>
        </w:rPr>
        <w:t>The employer</w:t>
      </w:r>
      <w:proofErr w:type="gramEnd"/>
      <w:r w:rsidRPr="006E0ABB">
        <w:rPr>
          <w:rFonts w:ascii="Arial" w:hAnsi="Arial" w:cs="Arial"/>
          <w:color w:val="333333"/>
          <w:sz w:val="20"/>
        </w:rPr>
        <w:t xml:space="preserve"> contribution effectively increases your retirement savings and can help with growth.</w:t>
      </w:r>
    </w:p>
    <w:p w14:paraId="212A9C90" w14:textId="7AC50FE2"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Flexibility</w:t>
      </w:r>
      <w:r w:rsidRPr="3E437E34">
        <w:rPr>
          <w:rFonts w:ascii="Arial" w:hAnsi="Arial" w:cs="Arial"/>
          <w:color w:val="333333"/>
          <w:sz w:val="20"/>
          <w:szCs w:val="20"/>
        </w:rPr>
        <w:t xml:space="preserve"> — you decide how much to contribute.</w:t>
      </w:r>
    </w:p>
    <w:p w14:paraId="014F358E" w14:textId="56C62A87"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Key terms you will see on your TIAA statements</w:t>
      </w:r>
    </w:p>
    <w:p w14:paraId="2564C67D" w14:textId="261F64AE"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403(b) Match Eligible</w:t>
      </w:r>
      <w:r w:rsidRPr="3E437E34">
        <w:rPr>
          <w:rFonts w:ascii="Arial" w:hAnsi="Arial" w:cs="Arial"/>
          <w:color w:val="333333"/>
          <w:sz w:val="20"/>
          <w:szCs w:val="20"/>
        </w:rPr>
        <w:t xml:space="preserve"> — your salary-deferral contributions of 3–8% that the University matches (if you are eligible for this plan).</w:t>
      </w:r>
    </w:p>
    <w:p w14:paraId="750016BB" w14:textId="1F74F920"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403(b) Supplemental</w:t>
      </w:r>
      <w:r w:rsidRPr="3E437E34">
        <w:rPr>
          <w:rFonts w:ascii="Arial" w:hAnsi="Arial" w:cs="Arial"/>
          <w:color w:val="333333"/>
          <w:sz w:val="20"/>
          <w:szCs w:val="20"/>
        </w:rPr>
        <w:t xml:space="preserve"> — any amount not eligible for the match: contributions under 3%, contributions over 8%, and contributions from employees not eligible for the match (for example, AllTemps and post-doctoral associates).</w:t>
      </w:r>
    </w:p>
    <w:p w14:paraId="5F70D56D" w14:textId="06B89A7B"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401(a) Employer Match</w:t>
      </w:r>
      <w:r w:rsidRPr="3E437E34">
        <w:rPr>
          <w:rFonts w:ascii="Arial" w:hAnsi="Arial" w:cs="Arial"/>
          <w:color w:val="333333"/>
          <w:sz w:val="20"/>
          <w:szCs w:val="20"/>
        </w:rPr>
        <w:t xml:space="preserve"> — the University’s contribution: $1 for $1 on contributions of 3–8% before vesting, increasing to $1.50 per $1 after vesting.</w:t>
      </w:r>
    </w:p>
    <w:p w14:paraId="0BCC122A" w14:textId="2EE18909" w:rsidR="006E0ABB" w:rsidRPr="006E0ABB" w:rsidRDefault="17B26621" w:rsidP="3E437E34">
      <w:pPr>
        <w:pStyle w:val="ListBullet"/>
        <w:spacing w:before="40" w:after="40"/>
      </w:pPr>
      <w:r w:rsidRPr="7BBB6AE0">
        <w:rPr>
          <w:rFonts w:ascii="Arial" w:hAnsi="Arial" w:cs="Arial"/>
          <w:b/>
          <w:bCs/>
          <w:color w:val="333333"/>
          <w:sz w:val="20"/>
          <w:szCs w:val="20"/>
        </w:rPr>
        <w:t xml:space="preserve">402(g) </w:t>
      </w:r>
      <w:proofErr w:type="gramStart"/>
      <w:r w:rsidRPr="7BBB6AE0">
        <w:rPr>
          <w:rFonts w:ascii="Arial" w:hAnsi="Arial" w:cs="Arial"/>
          <w:b/>
          <w:bCs/>
          <w:color w:val="333333"/>
          <w:sz w:val="20"/>
          <w:szCs w:val="20"/>
        </w:rPr>
        <w:t>limit</w:t>
      </w:r>
      <w:r w:rsidRPr="7BBB6AE0">
        <w:rPr>
          <w:rFonts w:ascii="Arial" w:hAnsi="Arial" w:cs="Arial"/>
          <w:color w:val="333333"/>
          <w:sz w:val="20"/>
          <w:szCs w:val="20"/>
        </w:rPr>
        <w:t xml:space="preserve"> —</w:t>
      </w:r>
      <w:proofErr w:type="gramEnd"/>
      <w:r w:rsidRPr="7BBB6AE0">
        <w:rPr>
          <w:rFonts w:ascii="Arial" w:hAnsi="Arial" w:cs="Arial"/>
          <w:color w:val="333333"/>
          <w:sz w:val="20"/>
          <w:szCs w:val="20"/>
        </w:rPr>
        <w:t xml:space="preserve"> the limit on how much an employee can contribute in a calendar year. The deck also references the 415(c) IRS limit.</w:t>
      </w:r>
    </w:p>
    <w:p w14:paraId="6C605295" w14:textId="076CF328" w:rsidR="7BBB6AE0" w:rsidRDefault="7BBB6AE0" w:rsidP="7BBB6AE0">
      <w:pPr>
        <w:rPr>
          <w:rFonts w:ascii="Arial" w:eastAsia="Arial" w:hAnsi="Arial" w:cs="Arial"/>
          <w:color w:val="333333"/>
          <w:sz w:val="20"/>
          <w:szCs w:val="20"/>
        </w:rPr>
      </w:pPr>
    </w:p>
    <w:p w14:paraId="10395C0D" w14:textId="038D0816"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4. Vesting — Earning the Right to Keep the University Match</w:t>
      </w:r>
    </w:p>
    <w:p w14:paraId="31F2A6AE" w14:textId="44F12339"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Vesting is the process by which you earn the right to keep the University’s contributions to your retirement plan.</w:t>
      </w:r>
    </w:p>
    <w:p w14:paraId="640FF9D9" w14:textId="53F0EA73"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Vesting period:</w:t>
      </w:r>
      <w:r w:rsidRPr="3E437E34">
        <w:rPr>
          <w:rFonts w:ascii="Arial" w:hAnsi="Arial" w:cs="Arial"/>
          <w:color w:val="333333"/>
          <w:sz w:val="20"/>
          <w:szCs w:val="20"/>
        </w:rPr>
        <w:t xml:space="preserve"> approximately 3 calendar years, with at least 6 months of participation in each; 1,000 service hours are needed per year.</w:t>
      </w:r>
    </w:p>
    <w:p w14:paraId="472279AF" w14:textId="10A2FB9B"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Service hours:</w:t>
      </w:r>
      <w:r w:rsidRPr="3E437E34">
        <w:rPr>
          <w:rFonts w:ascii="Arial" w:hAnsi="Arial" w:cs="Arial"/>
          <w:color w:val="333333"/>
          <w:sz w:val="20"/>
          <w:szCs w:val="20"/>
        </w:rPr>
        <w:t xml:space="preserve"> everyone is credited with 190 hours each month, regardless of percent effort.</w:t>
      </w:r>
    </w:p>
    <w:p w14:paraId="7319AECB" w14:textId="3B53A2FF"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Matched contributions:</w:t>
      </w:r>
      <w:r w:rsidRPr="3E437E34">
        <w:rPr>
          <w:rFonts w:ascii="Arial" w:hAnsi="Arial" w:cs="Arial"/>
          <w:color w:val="333333"/>
          <w:sz w:val="20"/>
          <w:szCs w:val="20"/>
        </w:rPr>
        <w:t xml:space="preserve"> 3–8% of your base salary.</w:t>
      </w:r>
    </w:p>
    <w:p w14:paraId="4438C602" w14:textId="51110A13"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Timeframe:</w:t>
      </w:r>
      <w:r w:rsidRPr="3E437E34">
        <w:rPr>
          <w:rFonts w:ascii="Arial" w:hAnsi="Arial" w:cs="Arial"/>
          <w:color w:val="333333"/>
          <w:sz w:val="20"/>
          <w:szCs w:val="20"/>
        </w:rPr>
        <w:t xml:space="preserve"> most individuals vest in June of their third calendar year of participation.</w:t>
      </w:r>
    </w:p>
    <w:p w14:paraId="7719D707" w14:textId="355B0E0C"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Typical vesting timeline</w:t>
      </w:r>
    </w:p>
    <w:p w14:paraId="28E7E458" w14:textId="632FC4C8"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Year 1</w:t>
      </w:r>
      <w:r w:rsidRPr="3E437E34">
        <w:rPr>
          <w:rFonts w:ascii="Arial" w:hAnsi="Arial" w:cs="Arial"/>
          <w:color w:val="333333"/>
          <w:sz w:val="20"/>
          <w:szCs w:val="20"/>
        </w:rPr>
        <w:t xml:space="preserve"> — start contributing for at least 6 months.</w:t>
      </w:r>
    </w:p>
    <w:p w14:paraId="37779C08" w14:textId="02A9B334"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Year 2</w:t>
      </w:r>
      <w:r w:rsidRPr="3E437E34">
        <w:rPr>
          <w:rFonts w:ascii="Arial" w:hAnsi="Arial" w:cs="Arial"/>
          <w:color w:val="333333"/>
          <w:sz w:val="20"/>
          <w:szCs w:val="20"/>
        </w:rPr>
        <w:t xml:space="preserve"> — continue contributing for at least 6 months.</w:t>
      </w:r>
    </w:p>
    <w:p w14:paraId="6BA201EE" w14:textId="4130F754"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Year 3</w:t>
      </w:r>
      <w:r w:rsidRPr="3E437E34">
        <w:rPr>
          <w:rFonts w:ascii="Arial" w:hAnsi="Arial" w:cs="Arial"/>
          <w:color w:val="333333"/>
          <w:sz w:val="20"/>
          <w:szCs w:val="20"/>
        </w:rPr>
        <w:t xml:space="preserve"> — vest in June after 6 months of contributing.</w:t>
      </w:r>
    </w:p>
    <w:p w14:paraId="59DEC70E" w14:textId="52874F9B"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Why it matters</w:t>
      </w:r>
    </w:p>
    <w:p w14:paraId="7878C326" w14:textId="4BE38915"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Once vested, the University match is fully yours and portable when you leave the University.</w:t>
      </w:r>
    </w:p>
    <w:p w14:paraId="18660356" w14:textId="1C9AC8FF"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If you terminate employment or stop contributing before you are vested, you forfeit the University’s match in your 401(a) account.</w:t>
      </w:r>
    </w:p>
    <w:p w14:paraId="7DEE5A8A" w14:textId="3C146A14" w:rsidR="006E0ABB" w:rsidRPr="006E0ABB" w:rsidRDefault="13892A7C" w:rsidP="006E0ABB">
      <w:pPr>
        <w:pStyle w:val="ListBullet"/>
        <w:spacing w:before="40" w:after="40"/>
      </w:pPr>
      <w:r w:rsidRPr="7BBB6AE0">
        <w:rPr>
          <w:rFonts w:ascii="Arial" w:hAnsi="Arial" w:cs="Arial"/>
          <w:color w:val="333333"/>
          <w:sz w:val="20"/>
          <w:szCs w:val="20"/>
        </w:rPr>
        <w:t>A separate presentation on vesting is linked from the deck for a deeper walkthrough.</w:t>
      </w:r>
    </w:p>
    <w:p w14:paraId="07B132B9" w14:textId="57C7486B" w:rsidR="7BBB6AE0" w:rsidRDefault="7BBB6AE0" w:rsidP="7BBB6AE0">
      <w:pPr>
        <w:rPr>
          <w:rFonts w:ascii="Arial" w:eastAsia="Arial" w:hAnsi="Arial" w:cs="Arial"/>
          <w:color w:val="333333"/>
          <w:sz w:val="20"/>
          <w:szCs w:val="20"/>
        </w:rPr>
      </w:pPr>
    </w:p>
    <w:p w14:paraId="1AE2540F" w14:textId="77BF7187"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5. Example Contributions Before &amp; After Vesting</w:t>
      </w:r>
    </w:p>
    <w:p w14:paraId="0DFB1DFB" w14:textId="75B9E75E"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Before vesting, the University matches 100% (a dollar for every dollar) of your 3–8% basic contribution. After vesting, the match increases to 150% (a dollar and a half for every dollar). Contributions above 8% are not matched further.</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238"/>
        <w:gridCol w:w="1958"/>
        <w:gridCol w:w="1958"/>
        <w:gridCol w:w="1958"/>
        <w:gridCol w:w="1958"/>
      </w:tblGrid>
      <w:tr w:rsidR="006E0ABB" w14:paraId="3949131E" w14:textId="77777777" w:rsidTr="7BBB6AE0">
        <w:trPr>
          <w:tblHeader/>
        </w:trPr>
        <w:tc>
          <w:tcPr>
            <w:tcW w:w="2240" w:type="dxa"/>
            <w:shd w:val="clear" w:color="auto" w:fill="003594"/>
            <w:tcMar>
              <w:top w:w="60" w:type="dxa"/>
              <w:left w:w="120" w:type="dxa"/>
              <w:bottom w:w="60" w:type="dxa"/>
              <w:right w:w="120" w:type="dxa"/>
            </w:tcMar>
          </w:tcPr>
          <w:p w14:paraId="140A1267" w14:textId="79CE07FA"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lastRenderedPageBreak/>
              <w:t>Your contribution</w:t>
            </w:r>
          </w:p>
        </w:tc>
        <w:tc>
          <w:tcPr>
            <w:tcW w:w="1960" w:type="dxa"/>
            <w:shd w:val="clear" w:color="auto" w:fill="003594"/>
            <w:tcMar>
              <w:top w:w="60" w:type="dxa"/>
              <w:left w:w="120" w:type="dxa"/>
              <w:bottom w:w="60" w:type="dxa"/>
              <w:right w:w="120" w:type="dxa"/>
            </w:tcMar>
          </w:tcPr>
          <w:p w14:paraId="6170B61C" w14:textId="7014F6EE"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Match before vesting</w:t>
            </w:r>
          </w:p>
        </w:tc>
        <w:tc>
          <w:tcPr>
            <w:tcW w:w="1960" w:type="dxa"/>
            <w:shd w:val="clear" w:color="auto" w:fill="003594"/>
            <w:tcMar>
              <w:top w:w="60" w:type="dxa"/>
              <w:left w:w="120" w:type="dxa"/>
              <w:bottom w:w="60" w:type="dxa"/>
              <w:right w:w="120" w:type="dxa"/>
            </w:tcMar>
          </w:tcPr>
          <w:p w14:paraId="3C072EF5" w14:textId="6F520510"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Total before vesting</w:t>
            </w:r>
          </w:p>
        </w:tc>
        <w:tc>
          <w:tcPr>
            <w:tcW w:w="1960" w:type="dxa"/>
            <w:shd w:val="clear" w:color="auto" w:fill="003594"/>
            <w:tcMar>
              <w:top w:w="60" w:type="dxa"/>
              <w:left w:w="120" w:type="dxa"/>
              <w:bottom w:w="60" w:type="dxa"/>
              <w:right w:w="120" w:type="dxa"/>
            </w:tcMar>
          </w:tcPr>
          <w:p w14:paraId="7AA13E39" w14:textId="389939B7"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Match after vesting</w:t>
            </w:r>
          </w:p>
        </w:tc>
        <w:tc>
          <w:tcPr>
            <w:tcW w:w="1960" w:type="dxa"/>
            <w:shd w:val="clear" w:color="auto" w:fill="003594"/>
            <w:tcMar>
              <w:top w:w="60" w:type="dxa"/>
              <w:left w:w="120" w:type="dxa"/>
              <w:bottom w:w="60" w:type="dxa"/>
              <w:right w:w="120" w:type="dxa"/>
            </w:tcMar>
          </w:tcPr>
          <w:p w14:paraId="16DD0D04" w14:textId="6947E18B" w:rsidR="006E0ABB" w:rsidRPr="006E0ABB" w:rsidRDefault="006E0ABB" w:rsidP="006E0ABB">
            <w:pPr>
              <w:spacing w:before="20" w:after="20"/>
              <w:rPr>
                <w:rFonts w:ascii="Arial" w:hAnsi="Arial" w:cs="Arial"/>
                <w:b/>
                <w:color w:val="FFFFFF"/>
                <w:sz w:val="19"/>
              </w:rPr>
            </w:pPr>
            <w:r w:rsidRPr="006E0ABB">
              <w:rPr>
                <w:rFonts w:ascii="Arial" w:hAnsi="Arial" w:cs="Arial"/>
                <w:b/>
                <w:color w:val="FFFFFF"/>
                <w:sz w:val="19"/>
              </w:rPr>
              <w:t>Total after vesting</w:t>
            </w:r>
          </w:p>
        </w:tc>
      </w:tr>
      <w:tr w:rsidR="006E0ABB" w14:paraId="73B017AB" w14:textId="77777777" w:rsidTr="7BBB6AE0">
        <w:tc>
          <w:tcPr>
            <w:tcW w:w="2240" w:type="dxa"/>
            <w:shd w:val="clear" w:color="auto" w:fill="D6E4F7"/>
            <w:tcMar>
              <w:top w:w="60" w:type="dxa"/>
              <w:left w:w="120" w:type="dxa"/>
              <w:bottom w:w="60" w:type="dxa"/>
              <w:right w:w="120" w:type="dxa"/>
            </w:tcMar>
          </w:tcPr>
          <w:p w14:paraId="436F365F" w14:textId="05A476F4"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2% (below 3%)</w:t>
            </w:r>
          </w:p>
        </w:tc>
        <w:tc>
          <w:tcPr>
            <w:tcW w:w="1960" w:type="dxa"/>
            <w:shd w:val="clear" w:color="auto" w:fill="FFFFFF" w:themeFill="background1"/>
            <w:tcMar>
              <w:top w:w="60" w:type="dxa"/>
              <w:left w:w="120" w:type="dxa"/>
              <w:bottom w:w="60" w:type="dxa"/>
              <w:right w:w="120" w:type="dxa"/>
            </w:tcMar>
          </w:tcPr>
          <w:p w14:paraId="1C85B780" w14:textId="11741FDF"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0%</w:t>
            </w:r>
          </w:p>
        </w:tc>
        <w:tc>
          <w:tcPr>
            <w:tcW w:w="1960" w:type="dxa"/>
            <w:shd w:val="clear" w:color="auto" w:fill="FFFFFF" w:themeFill="background1"/>
            <w:tcMar>
              <w:top w:w="60" w:type="dxa"/>
              <w:left w:w="120" w:type="dxa"/>
              <w:bottom w:w="60" w:type="dxa"/>
              <w:right w:w="120" w:type="dxa"/>
            </w:tcMar>
          </w:tcPr>
          <w:p w14:paraId="50DD6CEF" w14:textId="2EF76E74"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2%</w:t>
            </w:r>
          </w:p>
        </w:tc>
        <w:tc>
          <w:tcPr>
            <w:tcW w:w="1960" w:type="dxa"/>
            <w:shd w:val="clear" w:color="auto" w:fill="FFFFFF" w:themeFill="background1"/>
            <w:tcMar>
              <w:top w:w="60" w:type="dxa"/>
              <w:left w:w="120" w:type="dxa"/>
              <w:bottom w:w="60" w:type="dxa"/>
              <w:right w:w="120" w:type="dxa"/>
            </w:tcMar>
          </w:tcPr>
          <w:p w14:paraId="59A8F8F2" w14:textId="655513B5"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Not shown</w:t>
            </w:r>
          </w:p>
        </w:tc>
        <w:tc>
          <w:tcPr>
            <w:tcW w:w="1960" w:type="dxa"/>
            <w:shd w:val="clear" w:color="auto" w:fill="FFFFFF" w:themeFill="background1"/>
            <w:tcMar>
              <w:top w:w="60" w:type="dxa"/>
              <w:left w:w="120" w:type="dxa"/>
              <w:bottom w:w="60" w:type="dxa"/>
              <w:right w:w="120" w:type="dxa"/>
            </w:tcMar>
          </w:tcPr>
          <w:p w14:paraId="426339E0" w14:textId="0BE1F01B"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Not shown</w:t>
            </w:r>
          </w:p>
        </w:tc>
      </w:tr>
      <w:tr w:rsidR="006E0ABB" w14:paraId="53884C02" w14:textId="77777777" w:rsidTr="7BBB6AE0">
        <w:tc>
          <w:tcPr>
            <w:tcW w:w="2240" w:type="dxa"/>
            <w:shd w:val="clear" w:color="auto" w:fill="D6E4F7"/>
            <w:tcMar>
              <w:top w:w="60" w:type="dxa"/>
              <w:left w:w="120" w:type="dxa"/>
              <w:bottom w:w="60" w:type="dxa"/>
              <w:right w:w="120" w:type="dxa"/>
            </w:tcMar>
          </w:tcPr>
          <w:p w14:paraId="4588FE65" w14:textId="75C4FE1E"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3%</w:t>
            </w:r>
          </w:p>
        </w:tc>
        <w:tc>
          <w:tcPr>
            <w:tcW w:w="1960" w:type="dxa"/>
            <w:shd w:val="clear" w:color="auto" w:fill="FFFFFF" w:themeFill="background1"/>
            <w:tcMar>
              <w:top w:w="60" w:type="dxa"/>
              <w:left w:w="120" w:type="dxa"/>
              <w:bottom w:w="60" w:type="dxa"/>
              <w:right w:w="120" w:type="dxa"/>
            </w:tcMar>
          </w:tcPr>
          <w:p w14:paraId="33944B86" w14:textId="2155BB96"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3%</w:t>
            </w:r>
          </w:p>
        </w:tc>
        <w:tc>
          <w:tcPr>
            <w:tcW w:w="1960" w:type="dxa"/>
            <w:shd w:val="clear" w:color="auto" w:fill="FFFFFF" w:themeFill="background1"/>
            <w:tcMar>
              <w:top w:w="60" w:type="dxa"/>
              <w:left w:w="120" w:type="dxa"/>
              <w:bottom w:w="60" w:type="dxa"/>
              <w:right w:w="120" w:type="dxa"/>
            </w:tcMar>
          </w:tcPr>
          <w:p w14:paraId="5B221D8F" w14:textId="710A388A"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6%</w:t>
            </w:r>
          </w:p>
        </w:tc>
        <w:tc>
          <w:tcPr>
            <w:tcW w:w="1960" w:type="dxa"/>
            <w:shd w:val="clear" w:color="auto" w:fill="FFFFFF" w:themeFill="background1"/>
            <w:tcMar>
              <w:top w:w="60" w:type="dxa"/>
              <w:left w:w="120" w:type="dxa"/>
              <w:bottom w:w="60" w:type="dxa"/>
              <w:right w:w="120" w:type="dxa"/>
            </w:tcMar>
          </w:tcPr>
          <w:p w14:paraId="46D4D489" w14:textId="3027F82D"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4.5%</w:t>
            </w:r>
          </w:p>
        </w:tc>
        <w:tc>
          <w:tcPr>
            <w:tcW w:w="1960" w:type="dxa"/>
            <w:shd w:val="clear" w:color="auto" w:fill="FFFFFF" w:themeFill="background1"/>
            <w:tcMar>
              <w:top w:w="60" w:type="dxa"/>
              <w:left w:w="120" w:type="dxa"/>
              <w:bottom w:w="60" w:type="dxa"/>
              <w:right w:w="120" w:type="dxa"/>
            </w:tcMar>
          </w:tcPr>
          <w:p w14:paraId="6DEA6096" w14:textId="08689B83"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7.5%</w:t>
            </w:r>
          </w:p>
        </w:tc>
      </w:tr>
      <w:tr w:rsidR="006E0ABB" w14:paraId="20D1A857" w14:textId="77777777" w:rsidTr="7BBB6AE0">
        <w:tc>
          <w:tcPr>
            <w:tcW w:w="2240" w:type="dxa"/>
            <w:shd w:val="clear" w:color="auto" w:fill="D6E4F7"/>
            <w:tcMar>
              <w:top w:w="60" w:type="dxa"/>
              <w:left w:w="120" w:type="dxa"/>
              <w:bottom w:w="60" w:type="dxa"/>
              <w:right w:w="120" w:type="dxa"/>
            </w:tcMar>
          </w:tcPr>
          <w:p w14:paraId="2ED8C9C3" w14:textId="302296CE"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4%</w:t>
            </w:r>
          </w:p>
        </w:tc>
        <w:tc>
          <w:tcPr>
            <w:tcW w:w="1960" w:type="dxa"/>
            <w:shd w:val="clear" w:color="auto" w:fill="FFFFFF" w:themeFill="background1"/>
            <w:tcMar>
              <w:top w:w="60" w:type="dxa"/>
              <w:left w:w="120" w:type="dxa"/>
              <w:bottom w:w="60" w:type="dxa"/>
              <w:right w:w="120" w:type="dxa"/>
            </w:tcMar>
          </w:tcPr>
          <w:p w14:paraId="4DC0F9EF" w14:textId="3A0028BD"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4%</w:t>
            </w:r>
          </w:p>
        </w:tc>
        <w:tc>
          <w:tcPr>
            <w:tcW w:w="1960" w:type="dxa"/>
            <w:shd w:val="clear" w:color="auto" w:fill="FFFFFF" w:themeFill="background1"/>
            <w:tcMar>
              <w:top w:w="60" w:type="dxa"/>
              <w:left w:w="120" w:type="dxa"/>
              <w:bottom w:w="60" w:type="dxa"/>
              <w:right w:w="120" w:type="dxa"/>
            </w:tcMar>
          </w:tcPr>
          <w:p w14:paraId="7F411339" w14:textId="3327B493"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8%</w:t>
            </w:r>
          </w:p>
        </w:tc>
        <w:tc>
          <w:tcPr>
            <w:tcW w:w="1960" w:type="dxa"/>
            <w:shd w:val="clear" w:color="auto" w:fill="FFFFFF" w:themeFill="background1"/>
            <w:tcMar>
              <w:top w:w="60" w:type="dxa"/>
              <w:left w:w="120" w:type="dxa"/>
              <w:bottom w:w="60" w:type="dxa"/>
              <w:right w:w="120" w:type="dxa"/>
            </w:tcMar>
          </w:tcPr>
          <w:p w14:paraId="7E8B63E5" w14:textId="1547440C"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6%</w:t>
            </w:r>
          </w:p>
        </w:tc>
        <w:tc>
          <w:tcPr>
            <w:tcW w:w="1960" w:type="dxa"/>
            <w:shd w:val="clear" w:color="auto" w:fill="FFFFFF" w:themeFill="background1"/>
            <w:tcMar>
              <w:top w:w="60" w:type="dxa"/>
              <w:left w:w="120" w:type="dxa"/>
              <w:bottom w:w="60" w:type="dxa"/>
              <w:right w:w="120" w:type="dxa"/>
            </w:tcMar>
          </w:tcPr>
          <w:p w14:paraId="44844180" w14:textId="6A0A2F43"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10%</w:t>
            </w:r>
          </w:p>
        </w:tc>
      </w:tr>
      <w:tr w:rsidR="006E0ABB" w14:paraId="2C13E3EC" w14:textId="77777777" w:rsidTr="7BBB6AE0">
        <w:tc>
          <w:tcPr>
            <w:tcW w:w="2240" w:type="dxa"/>
            <w:shd w:val="clear" w:color="auto" w:fill="D6E4F7"/>
            <w:tcMar>
              <w:top w:w="60" w:type="dxa"/>
              <w:left w:w="120" w:type="dxa"/>
              <w:bottom w:w="60" w:type="dxa"/>
              <w:right w:w="120" w:type="dxa"/>
            </w:tcMar>
          </w:tcPr>
          <w:p w14:paraId="2633C71B" w14:textId="23C4124E"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5%</w:t>
            </w:r>
          </w:p>
        </w:tc>
        <w:tc>
          <w:tcPr>
            <w:tcW w:w="1960" w:type="dxa"/>
            <w:shd w:val="clear" w:color="auto" w:fill="FFFFFF" w:themeFill="background1"/>
            <w:tcMar>
              <w:top w:w="60" w:type="dxa"/>
              <w:left w:w="120" w:type="dxa"/>
              <w:bottom w:w="60" w:type="dxa"/>
              <w:right w:w="120" w:type="dxa"/>
            </w:tcMar>
          </w:tcPr>
          <w:p w14:paraId="2B6A24CF" w14:textId="33FF0291"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5%</w:t>
            </w:r>
          </w:p>
        </w:tc>
        <w:tc>
          <w:tcPr>
            <w:tcW w:w="1960" w:type="dxa"/>
            <w:shd w:val="clear" w:color="auto" w:fill="FFFFFF" w:themeFill="background1"/>
            <w:tcMar>
              <w:top w:w="60" w:type="dxa"/>
              <w:left w:w="120" w:type="dxa"/>
              <w:bottom w:w="60" w:type="dxa"/>
              <w:right w:w="120" w:type="dxa"/>
            </w:tcMar>
          </w:tcPr>
          <w:p w14:paraId="2212F66A" w14:textId="59125269"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10%</w:t>
            </w:r>
          </w:p>
        </w:tc>
        <w:tc>
          <w:tcPr>
            <w:tcW w:w="1960" w:type="dxa"/>
            <w:shd w:val="clear" w:color="auto" w:fill="FFFFFF" w:themeFill="background1"/>
            <w:tcMar>
              <w:top w:w="60" w:type="dxa"/>
              <w:left w:w="120" w:type="dxa"/>
              <w:bottom w:w="60" w:type="dxa"/>
              <w:right w:w="120" w:type="dxa"/>
            </w:tcMar>
          </w:tcPr>
          <w:p w14:paraId="4C83F27C" w14:textId="2EF068E7"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7.5%</w:t>
            </w:r>
          </w:p>
        </w:tc>
        <w:tc>
          <w:tcPr>
            <w:tcW w:w="1960" w:type="dxa"/>
            <w:shd w:val="clear" w:color="auto" w:fill="FFFFFF" w:themeFill="background1"/>
            <w:tcMar>
              <w:top w:w="60" w:type="dxa"/>
              <w:left w:w="120" w:type="dxa"/>
              <w:bottom w:w="60" w:type="dxa"/>
              <w:right w:w="120" w:type="dxa"/>
            </w:tcMar>
          </w:tcPr>
          <w:p w14:paraId="7CFA5ECD" w14:textId="57F528D4"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12.5%</w:t>
            </w:r>
          </w:p>
        </w:tc>
      </w:tr>
      <w:tr w:rsidR="006E0ABB" w14:paraId="1AA424DC" w14:textId="77777777" w:rsidTr="7BBB6AE0">
        <w:tc>
          <w:tcPr>
            <w:tcW w:w="2240" w:type="dxa"/>
            <w:shd w:val="clear" w:color="auto" w:fill="D6E4F7"/>
            <w:tcMar>
              <w:top w:w="60" w:type="dxa"/>
              <w:left w:w="120" w:type="dxa"/>
              <w:bottom w:w="60" w:type="dxa"/>
              <w:right w:w="120" w:type="dxa"/>
            </w:tcMar>
          </w:tcPr>
          <w:p w14:paraId="121B9B8B" w14:textId="732C2EB8"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6%</w:t>
            </w:r>
          </w:p>
        </w:tc>
        <w:tc>
          <w:tcPr>
            <w:tcW w:w="1960" w:type="dxa"/>
            <w:shd w:val="clear" w:color="auto" w:fill="FFFFFF" w:themeFill="background1"/>
            <w:tcMar>
              <w:top w:w="60" w:type="dxa"/>
              <w:left w:w="120" w:type="dxa"/>
              <w:bottom w:w="60" w:type="dxa"/>
              <w:right w:w="120" w:type="dxa"/>
            </w:tcMar>
          </w:tcPr>
          <w:p w14:paraId="482AEFEC" w14:textId="010943A8"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6%</w:t>
            </w:r>
          </w:p>
        </w:tc>
        <w:tc>
          <w:tcPr>
            <w:tcW w:w="1960" w:type="dxa"/>
            <w:shd w:val="clear" w:color="auto" w:fill="FFFFFF" w:themeFill="background1"/>
            <w:tcMar>
              <w:top w:w="60" w:type="dxa"/>
              <w:left w:w="120" w:type="dxa"/>
              <w:bottom w:w="60" w:type="dxa"/>
              <w:right w:w="120" w:type="dxa"/>
            </w:tcMar>
          </w:tcPr>
          <w:p w14:paraId="32431511" w14:textId="5B752C6B"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12%</w:t>
            </w:r>
          </w:p>
        </w:tc>
        <w:tc>
          <w:tcPr>
            <w:tcW w:w="1960" w:type="dxa"/>
            <w:shd w:val="clear" w:color="auto" w:fill="FFFFFF" w:themeFill="background1"/>
            <w:tcMar>
              <w:top w:w="60" w:type="dxa"/>
              <w:left w:w="120" w:type="dxa"/>
              <w:bottom w:w="60" w:type="dxa"/>
              <w:right w:w="120" w:type="dxa"/>
            </w:tcMar>
          </w:tcPr>
          <w:p w14:paraId="528BE8F8" w14:textId="3935DB0A"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9%</w:t>
            </w:r>
          </w:p>
        </w:tc>
        <w:tc>
          <w:tcPr>
            <w:tcW w:w="1960" w:type="dxa"/>
            <w:shd w:val="clear" w:color="auto" w:fill="FFFFFF" w:themeFill="background1"/>
            <w:tcMar>
              <w:top w:w="60" w:type="dxa"/>
              <w:left w:w="120" w:type="dxa"/>
              <w:bottom w:w="60" w:type="dxa"/>
              <w:right w:w="120" w:type="dxa"/>
            </w:tcMar>
          </w:tcPr>
          <w:p w14:paraId="5C7549FC" w14:textId="6220EF97"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15%</w:t>
            </w:r>
          </w:p>
        </w:tc>
      </w:tr>
      <w:tr w:rsidR="006E0ABB" w14:paraId="40E69903" w14:textId="77777777" w:rsidTr="7BBB6AE0">
        <w:tc>
          <w:tcPr>
            <w:tcW w:w="2240" w:type="dxa"/>
            <w:shd w:val="clear" w:color="auto" w:fill="D6E4F7"/>
            <w:tcMar>
              <w:top w:w="60" w:type="dxa"/>
              <w:left w:w="120" w:type="dxa"/>
              <w:bottom w:w="60" w:type="dxa"/>
              <w:right w:w="120" w:type="dxa"/>
            </w:tcMar>
          </w:tcPr>
          <w:p w14:paraId="2626DD5F" w14:textId="24944F58"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7%</w:t>
            </w:r>
          </w:p>
        </w:tc>
        <w:tc>
          <w:tcPr>
            <w:tcW w:w="1960" w:type="dxa"/>
            <w:shd w:val="clear" w:color="auto" w:fill="FFFFFF" w:themeFill="background1"/>
            <w:tcMar>
              <w:top w:w="60" w:type="dxa"/>
              <w:left w:w="120" w:type="dxa"/>
              <w:bottom w:w="60" w:type="dxa"/>
              <w:right w:w="120" w:type="dxa"/>
            </w:tcMar>
          </w:tcPr>
          <w:p w14:paraId="3C0749FF" w14:textId="68B4B47D"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7%</w:t>
            </w:r>
          </w:p>
        </w:tc>
        <w:tc>
          <w:tcPr>
            <w:tcW w:w="1960" w:type="dxa"/>
            <w:shd w:val="clear" w:color="auto" w:fill="FFFFFF" w:themeFill="background1"/>
            <w:tcMar>
              <w:top w:w="60" w:type="dxa"/>
              <w:left w:w="120" w:type="dxa"/>
              <w:bottom w:w="60" w:type="dxa"/>
              <w:right w:w="120" w:type="dxa"/>
            </w:tcMar>
          </w:tcPr>
          <w:p w14:paraId="7EAE9639" w14:textId="777D1139"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14%</w:t>
            </w:r>
          </w:p>
        </w:tc>
        <w:tc>
          <w:tcPr>
            <w:tcW w:w="1960" w:type="dxa"/>
            <w:shd w:val="clear" w:color="auto" w:fill="FFFFFF" w:themeFill="background1"/>
            <w:tcMar>
              <w:top w:w="60" w:type="dxa"/>
              <w:left w:w="120" w:type="dxa"/>
              <w:bottom w:w="60" w:type="dxa"/>
              <w:right w:w="120" w:type="dxa"/>
            </w:tcMar>
          </w:tcPr>
          <w:p w14:paraId="0AC5F9B4" w14:textId="140AB48A"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10.5%</w:t>
            </w:r>
          </w:p>
        </w:tc>
        <w:tc>
          <w:tcPr>
            <w:tcW w:w="1960" w:type="dxa"/>
            <w:shd w:val="clear" w:color="auto" w:fill="FFFFFF" w:themeFill="background1"/>
            <w:tcMar>
              <w:top w:w="60" w:type="dxa"/>
              <w:left w:w="120" w:type="dxa"/>
              <w:bottom w:w="60" w:type="dxa"/>
              <w:right w:w="120" w:type="dxa"/>
            </w:tcMar>
          </w:tcPr>
          <w:p w14:paraId="68091E91" w14:textId="79BCDD48"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17.5%</w:t>
            </w:r>
          </w:p>
        </w:tc>
      </w:tr>
      <w:tr w:rsidR="006E0ABB" w14:paraId="4A71BE00" w14:textId="77777777" w:rsidTr="7BBB6AE0">
        <w:tc>
          <w:tcPr>
            <w:tcW w:w="2240" w:type="dxa"/>
            <w:shd w:val="clear" w:color="auto" w:fill="D6E4F7"/>
            <w:tcMar>
              <w:top w:w="60" w:type="dxa"/>
              <w:left w:w="120" w:type="dxa"/>
              <w:bottom w:w="60" w:type="dxa"/>
              <w:right w:w="120" w:type="dxa"/>
            </w:tcMar>
          </w:tcPr>
          <w:p w14:paraId="6988D6FD" w14:textId="5D821A7A"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8%</w:t>
            </w:r>
          </w:p>
        </w:tc>
        <w:tc>
          <w:tcPr>
            <w:tcW w:w="1960" w:type="dxa"/>
            <w:shd w:val="clear" w:color="auto" w:fill="FFFFFF" w:themeFill="background1"/>
            <w:tcMar>
              <w:top w:w="60" w:type="dxa"/>
              <w:left w:w="120" w:type="dxa"/>
              <w:bottom w:w="60" w:type="dxa"/>
              <w:right w:w="120" w:type="dxa"/>
            </w:tcMar>
          </w:tcPr>
          <w:p w14:paraId="41AC8C04" w14:textId="633E95F5"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8%</w:t>
            </w:r>
          </w:p>
        </w:tc>
        <w:tc>
          <w:tcPr>
            <w:tcW w:w="1960" w:type="dxa"/>
            <w:shd w:val="clear" w:color="auto" w:fill="FFFFFF" w:themeFill="background1"/>
            <w:tcMar>
              <w:top w:w="60" w:type="dxa"/>
              <w:left w:w="120" w:type="dxa"/>
              <w:bottom w:w="60" w:type="dxa"/>
              <w:right w:w="120" w:type="dxa"/>
            </w:tcMar>
          </w:tcPr>
          <w:p w14:paraId="138442B5" w14:textId="730BB776"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16%</w:t>
            </w:r>
          </w:p>
        </w:tc>
        <w:tc>
          <w:tcPr>
            <w:tcW w:w="1960" w:type="dxa"/>
            <w:shd w:val="clear" w:color="auto" w:fill="FFFFFF" w:themeFill="background1"/>
            <w:tcMar>
              <w:top w:w="60" w:type="dxa"/>
              <w:left w:w="120" w:type="dxa"/>
              <w:bottom w:w="60" w:type="dxa"/>
              <w:right w:w="120" w:type="dxa"/>
            </w:tcMar>
          </w:tcPr>
          <w:p w14:paraId="53FFD7A5" w14:textId="238A1371"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12%</w:t>
            </w:r>
          </w:p>
        </w:tc>
        <w:tc>
          <w:tcPr>
            <w:tcW w:w="1960" w:type="dxa"/>
            <w:shd w:val="clear" w:color="auto" w:fill="FFFFFF" w:themeFill="background1"/>
            <w:tcMar>
              <w:top w:w="60" w:type="dxa"/>
              <w:left w:w="120" w:type="dxa"/>
              <w:bottom w:w="60" w:type="dxa"/>
              <w:right w:w="120" w:type="dxa"/>
            </w:tcMar>
          </w:tcPr>
          <w:p w14:paraId="1900B022" w14:textId="0318AD59"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20%</w:t>
            </w:r>
          </w:p>
        </w:tc>
      </w:tr>
      <w:tr w:rsidR="006E0ABB" w14:paraId="5008646D" w14:textId="77777777" w:rsidTr="7BBB6AE0">
        <w:tc>
          <w:tcPr>
            <w:tcW w:w="2240" w:type="dxa"/>
            <w:shd w:val="clear" w:color="auto" w:fill="D6E4F7"/>
            <w:tcMar>
              <w:top w:w="60" w:type="dxa"/>
              <w:left w:w="120" w:type="dxa"/>
              <w:bottom w:w="60" w:type="dxa"/>
              <w:right w:w="120" w:type="dxa"/>
            </w:tcMar>
          </w:tcPr>
          <w:p w14:paraId="0892E1F1" w14:textId="64BED3E5" w:rsidR="006E0ABB" w:rsidRPr="006E0ABB" w:rsidRDefault="006E0ABB" w:rsidP="006E0ABB">
            <w:pPr>
              <w:spacing w:before="20" w:after="20"/>
              <w:rPr>
                <w:rFonts w:ascii="Arial" w:hAnsi="Arial" w:cs="Arial"/>
                <w:b/>
                <w:color w:val="003594"/>
                <w:sz w:val="19"/>
              </w:rPr>
            </w:pPr>
            <w:r w:rsidRPr="006E0ABB">
              <w:rPr>
                <w:rFonts w:ascii="Arial" w:hAnsi="Arial" w:cs="Arial"/>
                <w:b/>
                <w:color w:val="003594"/>
                <w:sz w:val="19"/>
              </w:rPr>
              <w:t>10% (above 8%)</w:t>
            </w:r>
          </w:p>
        </w:tc>
        <w:tc>
          <w:tcPr>
            <w:tcW w:w="1960" w:type="dxa"/>
            <w:shd w:val="clear" w:color="auto" w:fill="FFFFFF" w:themeFill="background1"/>
            <w:tcMar>
              <w:top w:w="60" w:type="dxa"/>
              <w:left w:w="120" w:type="dxa"/>
              <w:bottom w:w="60" w:type="dxa"/>
              <w:right w:w="120" w:type="dxa"/>
            </w:tcMar>
          </w:tcPr>
          <w:p w14:paraId="05F28929" w14:textId="07D3EA9D"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8%</w:t>
            </w:r>
          </w:p>
        </w:tc>
        <w:tc>
          <w:tcPr>
            <w:tcW w:w="1960" w:type="dxa"/>
            <w:shd w:val="clear" w:color="auto" w:fill="FFFFFF" w:themeFill="background1"/>
            <w:tcMar>
              <w:top w:w="60" w:type="dxa"/>
              <w:left w:w="120" w:type="dxa"/>
              <w:bottom w:w="60" w:type="dxa"/>
              <w:right w:w="120" w:type="dxa"/>
            </w:tcMar>
          </w:tcPr>
          <w:p w14:paraId="44849C9F" w14:textId="67DC3B29"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18%</w:t>
            </w:r>
          </w:p>
        </w:tc>
        <w:tc>
          <w:tcPr>
            <w:tcW w:w="1960" w:type="dxa"/>
            <w:shd w:val="clear" w:color="auto" w:fill="FFFFFF" w:themeFill="background1"/>
            <w:tcMar>
              <w:top w:w="60" w:type="dxa"/>
              <w:left w:w="120" w:type="dxa"/>
              <w:bottom w:w="60" w:type="dxa"/>
              <w:right w:w="120" w:type="dxa"/>
            </w:tcMar>
          </w:tcPr>
          <w:p w14:paraId="2E79587A" w14:textId="06D68198"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12%</w:t>
            </w:r>
          </w:p>
        </w:tc>
        <w:tc>
          <w:tcPr>
            <w:tcW w:w="1960" w:type="dxa"/>
            <w:shd w:val="clear" w:color="auto" w:fill="FFFFFF" w:themeFill="background1"/>
            <w:tcMar>
              <w:top w:w="60" w:type="dxa"/>
              <w:left w:w="120" w:type="dxa"/>
              <w:bottom w:w="60" w:type="dxa"/>
              <w:right w:w="120" w:type="dxa"/>
            </w:tcMar>
          </w:tcPr>
          <w:p w14:paraId="00441C90" w14:textId="6E3654B2"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22%</w:t>
            </w:r>
          </w:p>
        </w:tc>
      </w:tr>
      <w:tr w:rsidR="006E0ABB" w14:paraId="51F6880C" w14:textId="77777777" w:rsidTr="7BBB6AE0">
        <w:tc>
          <w:tcPr>
            <w:tcW w:w="2240" w:type="dxa"/>
            <w:shd w:val="clear" w:color="auto" w:fill="D6E4F7"/>
            <w:tcMar>
              <w:top w:w="60" w:type="dxa"/>
              <w:left w:w="120" w:type="dxa"/>
              <w:bottom w:w="60" w:type="dxa"/>
              <w:right w:w="120" w:type="dxa"/>
            </w:tcMar>
          </w:tcPr>
          <w:p w14:paraId="6D019891" w14:textId="355C1E83" w:rsidR="006E0ABB" w:rsidRPr="006E0ABB" w:rsidRDefault="006E0ABB" w:rsidP="006E0ABB">
            <w:pPr>
              <w:spacing w:before="20" w:after="20"/>
              <w:rPr>
                <w:rFonts w:ascii="Arial" w:hAnsi="Arial" w:cs="Arial"/>
                <w:b/>
                <w:color w:val="003594"/>
                <w:sz w:val="19"/>
              </w:rPr>
            </w:pPr>
            <w:proofErr w:type="gramStart"/>
            <w:r w:rsidRPr="006E0ABB">
              <w:rPr>
                <w:rFonts w:ascii="Arial" w:hAnsi="Arial" w:cs="Arial"/>
                <w:b/>
                <w:color w:val="003594"/>
                <w:sz w:val="19"/>
              </w:rPr>
              <w:t>8% —</w:t>
            </w:r>
            <w:proofErr w:type="gramEnd"/>
            <w:r w:rsidRPr="006E0ABB">
              <w:rPr>
                <w:rFonts w:ascii="Arial" w:hAnsi="Arial" w:cs="Arial"/>
                <w:b/>
                <w:color w:val="003594"/>
                <w:sz w:val="19"/>
              </w:rPr>
              <w:t xml:space="preserve"> Accelerated Option</w:t>
            </w:r>
          </w:p>
        </w:tc>
        <w:tc>
          <w:tcPr>
            <w:tcW w:w="1960" w:type="dxa"/>
            <w:shd w:val="clear" w:color="auto" w:fill="FFFFFF" w:themeFill="background1"/>
            <w:tcMar>
              <w:top w:w="60" w:type="dxa"/>
              <w:left w:w="120" w:type="dxa"/>
              <w:bottom w:w="60" w:type="dxa"/>
              <w:right w:w="120" w:type="dxa"/>
            </w:tcMar>
          </w:tcPr>
          <w:p w14:paraId="7146DB46" w14:textId="2A0B4628"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N/A</w:t>
            </w:r>
          </w:p>
        </w:tc>
        <w:tc>
          <w:tcPr>
            <w:tcW w:w="1960" w:type="dxa"/>
            <w:shd w:val="clear" w:color="auto" w:fill="FFFFFF" w:themeFill="background1"/>
            <w:tcMar>
              <w:top w:w="60" w:type="dxa"/>
              <w:left w:w="120" w:type="dxa"/>
              <w:bottom w:w="60" w:type="dxa"/>
              <w:right w:w="120" w:type="dxa"/>
            </w:tcMar>
          </w:tcPr>
          <w:p w14:paraId="4656FC26" w14:textId="0D8F39B6"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N/A</w:t>
            </w:r>
          </w:p>
        </w:tc>
        <w:tc>
          <w:tcPr>
            <w:tcW w:w="1960" w:type="dxa"/>
            <w:shd w:val="clear" w:color="auto" w:fill="FFFFFF" w:themeFill="background1"/>
            <w:tcMar>
              <w:top w:w="60" w:type="dxa"/>
              <w:left w:w="120" w:type="dxa"/>
              <w:bottom w:w="60" w:type="dxa"/>
              <w:right w:w="120" w:type="dxa"/>
            </w:tcMar>
          </w:tcPr>
          <w:p w14:paraId="1214110E" w14:textId="4AA5B20A"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14.5%</w:t>
            </w:r>
          </w:p>
        </w:tc>
        <w:tc>
          <w:tcPr>
            <w:tcW w:w="1960" w:type="dxa"/>
            <w:shd w:val="clear" w:color="auto" w:fill="FFFFFF" w:themeFill="background1"/>
            <w:tcMar>
              <w:top w:w="60" w:type="dxa"/>
              <w:left w:w="120" w:type="dxa"/>
              <w:bottom w:w="60" w:type="dxa"/>
              <w:right w:w="120" w:type="dxa"/>
            </w:tcMar>
          </w:tcPr>
          <w:p w14:paraId="26DEF1FF" w14:textId="51AC08F1" w:rsidR="006E0ABB" w:rsidRPr="006E0ABB" w:rsidRDefault="006E0ABB" w:rsidP="006E0ABB">
            <w:pPr>
              <w:spacing w:before="20" w:after="20"/>
              <w:rPr>
                <w:rFonts w:ascii="Arial" w:hAnsi="Arial" w:cs="Arial"/>
                <w:color w:val="333333"/>
                <w:sz w:val="19"/>
              </w:rPr>
            </w:pPr>
            <w:r w:rsidRPr="006E0ABB">
              <w:rPr>
                <w:rFonts w:ascii="Arial" w:hAnsi="Arial" w:cs="Arial"/>
                <w:color w:val="333333"/>
                <w:sz w:val="19"/>
              </w:rPr>
              <w:t>22.5%</w:t>
            </w:r>
          </w:p>
        </w:tc>
      </w:tr>
    </w:tbl>
    <w:p w14:paraId="00DEE9A3" w14:textId="77777777" w:rsidR="006E0ABB" w:rsidRPr="006E0ABB" w:rsidRDefault="006E0ABB" w:rsidP="006E0ABB">
      <w:pPr>
        <w:spacing w:after="0"/>
        <w:rPr>
          <w:rFonts w:ascii="Arial" w:hAnsi="Arial" w:cs="Arial"/>
          <w:color w:val="333333"/>
          <w:sz w:val="8"/>
        </w:rPr>
      </w:pPr>
    </w:p>
    <w:p w14:paraId="5ACECDE5" w14:textId="4ABDB3C4" w:rsidR="006E0ABB" w:rsidRPr="006E0ABB" w:rsidRDefault="13892A7C" w:rsidP="006E0ABB">
      <w:pPr>
        <w:spacing w:before="60" w:after="60"/>
      </w:pPr>
      <w:r w:rsidRPr="7BBB6AE0">
        <w:rPr>
          <w:rFonts w:ascii="Arial" w:hAnsi="Arial" w:cs="Arial"/>
          <w:color w:val="555555"/>
          <w:sz w:val="18"/>
          <w:szCs w:val="18"/>
        </w:rPr>
        <w:t>Accelerated Option figures apply only to vested participants age 52–64 who have elected the option (see Section 6).</w:t>
      </w:r>
    </w:p>
    <w:p w14:paraId="6FDD2274" w14:textId="60E0E310" w:rsidR="7BBB6AE0" w:rsidRDefault="7BBB6AE0" w:rsidP="7BBB6AE0">
      <w:pPr>
        <w:rPr>
          <w:rFonts w:ascii="Arial" w:eastAsia="Arial" w:hAnsi="Arial" w:cs="Arial"/>
          <w:color w:val="333333"/>
          <w:sz w:val="20"/>
          <w:szCs w:val="20"/>
        </w:rPr>
      </w:pPr>
    </w:p>
    <w:p w14:paraId="068F1C33" w14:textId="3B397A57"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6. The Accelerated Option (Age 52–64)</w:t>
      </w:r>
    </w:p>
    <w:p w14:paraId="3CB592C4" w14:textId="1CCC2D77"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An enhanced University match for later-career savers.</w:t>
      </w:r>
    </w:p>
    <w:p w14:paraId="6CB22EFF" w14:textId="0AC1E86C"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Who qualifies</w:t>
      </w:r>
    </w:p>
    <w:p w14:paraId="7120D521" w14:textId="139D57D7"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Fully vested participants starting at age 52.</w:t>
      </w:r>
    </w:p>
    <w:p w14:paraId="1E659071" w14:textId="3962FA05"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Must be contributing at least 8% of salary.</w:t>
      </w:r>
    </w:p>
    <w:p w14:paraId="1ACD00F0" w14:textId="45A9C483"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 xml:space="preserve">Not available to employees </w:t>
      </w:r>
      <w:proofErr w:type="gramStart"/>
      <w:r w:rsidRPr="006E0ABB">
        <w:rPr>
          <w:rFonts w:ascii="Arial" w:hAnsi="Arial" w:cs="Arial"/>
          <w:color w:val="333333"/>
          <w:sz w:val="20"/>
        </w:rPr>
        <w:t>age</w:t>
      </w:r>
      <w:proofErr w:type="gramEnd"/>
      <w:r w:rsidRPr="006E0ABB">
        <w:rPr>
          <w:rFonts w:ascii="Arial" w:hAnsi="Arial" w:cs="Arial"/>
          <w:color w:val="333333"/>
          <w:sz w:val="20"/>
        </w:rPr>
        <w:t xml:space="preserve"> 65 or older, or age 51 or younger.</w:t>
      </w:r>
    </w:p>
    <w:p w14:paraId="0EC5C2A2" w14:textId="53C876E0"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How the match changes</w:t>
      </w:r>
    </w:p>
    <w:p w14:paraId="301FF71C" w14:textId="5557C822"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The University match increases from 12% to 14.5% upon enrollment.</w:t>
      </w:r>
    </w:p>
    <w:p w14:paraId="260A3997" w14:textId="715029B3"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The enhanced match lasts up to 120 months (10 years) or until age 65, whichever comes first.</w:t>
      </w:r>
    </w:p>
    <w:p w14:paraId="1ACD5288" w14:textId="51E3E999"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 xml:space="preserve">After the option ends, you may continue contributing, but the University match stops </w:t>
      </w:r>
      <w:proofErr w:type="gramStart"/>
      <w:r w:rsidRPr="006E0ABB">
        <w:rPr>
          <w:rFonts w:ascii="Arial" w:hAnsi="Arial" w:cs="Arial"/>
          <w:color w:val="333333"/>
          <w:sz w:val="20"/>
        </w:rPr>
        <w:t>completely</w:t>
      </w:r>
      <w:proofErr w:type="gramEnd"/>
      <w:r w:rsidRPr="006E0ABB">
        <w:rPr>
          <w:rFonts w:ascii="Arial" w:hAnsi="Arial" w:cs="Arial"/>
          <w:color w:val="333333"/>
          <w:sz w:val="20"/>
        </w:rPr>
        <w:t xml:space="preserve"> and you must re-enroll to restart contributions.</w:t>
      </w:r>
    </w:p>
    <w:p w14:paraId="2B3E8CB0" w14:textId="19A7F303"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How to enroll</w:t>
      </w:r>
    </w:p>
    <w:p w14:paraId="55BAA3DA" w14:textId="742CC266"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You must actively elect the option through the online retirement enrollment system; the accelerated match takes effect the month following submission.</w:t>
      </w:r>
    </w:p>
    <w:p w14:paraId="28DEFDB9" w14:textId="0DB870F6" w:rsidR="006E0ABB" w:rsidRPr="006E0ABB" w:rsidRDefault="13892A7C" w:rsidP="006E0ABB">
      <w:pPr>
        <w:pStyle w:val="ListBullet"/>
        <w:spacing w:before="40" w:after="40"/>
      </w:pPr>
      <w:r w:rsidRPr="7BBB6AE0">
        <w:rPr>
          <w:rFonts w:ascii="Arial" w:hAnsi="Arial" w:cs="Arial"/>
          <w:color w:val="333333"/>
          <w:sz w:val="20"/>
          <w:szCs w:val="20"/>
        </w:rPr>
        <w:t>See the 401(a) Plan Document for rules on lowering contributions after enrollment and on revoking the election.</w:t>
      </w:r>
    </w:p>
    <w:p w14:paraId="575D4205" w14:textId="707739ED" w:rsidR="7BBB6AE0" w:rsidRDefault="7BBB6AE0" w:rsidP="7BBB6AE0">
      <w:pPr>
        <w:rPr>
          <w:rFonts w:ascii="Arial" w:eastAsia="Arial" w:hAnsi="Arial" w:cs="Arial"/>
          <w:color w:val="333333"/>
          <w:sz w:val="20"/>
          <w:szCs w:val="20"/>
        </w:rPr>
      </w:pPr>
    </w:p>
    <w:p w14:paraId="5781967A" w14:textId="2176A9E7"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7. 457(b) Supplemental Plan</w:t>
      </w:r>
    </w:p>
    <w:p w14:paraId="7B8F57D9" w14:textId="452A1EC3"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Eligible employees may make supplemental (non-matched) contributions to a 457(b) plan — pre-tax or after-tax Roth — to save more for the future.</w:t>
      </w:r>
    </w:p>
    <w:p w14:paraId="7E9E1089" w14:textId="10ED6443"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lastRenderedPageBreak/>
        <w:t>Who is eligible</w:t>
      </w:r>
    </w:p>
    <w:p w14:paraId="7F072A50" w14:textId="50EF46C2"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Same groups as the Defined Contribution Matching Plan (full-time regular faculty, librarians, research associates, and non-union staff; part-time tenure-stream faculty at 50%+ effort; part-time regular non-union staff; union employees per their CBA).</w:t>
      </w:r>
    </w:p>
    <w:p w14:paraId="1EA2AA34" w14:textId="61685618"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Not eligible:</w:t>
      </w:r>
      <w:r w:rsidRPr="3E437E34">
        <w:rPr>
          <w:rFonts w:ascii="Arial" w:hAnsi="Arial" w:cs="Arial"/>
          <w:color w:val="333333"/>
          <w:sz w:val="20"/>
          <w:szCs w:val="20"/>
        </w:rPr>
        <w:t xml:space="preserve"> active MHSF employees, retirees, and former staff and faculty members.</w:t>
      </w:r>
    </w:p>
    <w:p w14:paraId="101A70F9" w14:textId="616CC850" w:rsidR="006E0ABB" w:rsidRPr="006E0ABB" w:rsidRDefault="17B26621" w:rsidP="7BBB6AE0">
      <w:pPr>
        <w:pStyle w:val="Heading2"/>
        <w:rPr>
          <w:rFonts w:ascii="Arial" w:eastAsia="Arial" w:hAnsi="Arial" w:cs="Arial"/>
          <w:b/>
          <w:bCs/>
          <w:color w:val="003594"/>
          <w:sz w:val="24"/>
          <w:szCs w:val="24"/>
        </w:rPr>
      </w:pPr>
      <w:r w:rsidRPr="7BBB6AE0">
        <w:rPr>
          <w:rFonts w:ascii="Arial" w:eastAsia="Arial" w:hAnsi="Arial" w:cs="Arial"/>
          <w:b/>
          <w:bCs/>
          <w:color w:val="003594"/>
          <w:sz w:val="24"/>
          <w:szCs w:val="24"/>
        </w:rPr>
        <w:t>Advantages and considerations</w:t>
      </w:r>
    </w:p>
    <w:p w14:paraId="2A26C8CA" w14:textId="2CF1AE6C"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Deferred compensation plan:</w:t>
      </w:r>
      <w:r w:rsidRPr="3E437E34">
        <w:rPr>
          <w:rFonts w:ascii="Arial" w:hAnsi="Arial" w:cs="Arial"/>
          <w:color w:val="333333"/>
          <w:sz w:val="20"/>
          <w:szCs w:val="20"/>
        </w:rPr>
        <w:t xml:space="preserve"> distributions are available when you leave employment or reach age 70, whichever comes first.</w:t>
      </w:r>
    </w:p>
    <w:p w14:paraId="4B3B23D1" w14:textId="36D9F499" w:rsidR="006E0ABB" w:rsidRPr="006E0ABB" w:rsidRDefault="006E0ABB" w:rsidP="006E0ABB">
      <w:pPr>
        <w:pStyle w:val="ListBullet"/>
        <w:spacing w:before="40" w:after="40"/>
        <w:rPr>
          <w:rFonts w:ascii="Arial" w:hAnsi="Arial" w:cs="Arial"/>
          <w:color w:val="333333"/>
          <w:sz w:val="20"/>
        </w:rPr>
      </w:pPr>
      <w:r w:rsidRPr="006E0ABB">
        <w:rPr>
          <w:rFonts w:ascii="Arial" w:hAnsi="Arial" w:cs="Arial"/>
          <w:color w:val="333333"/>
          <w:sz w:val="20"/>
        </w:rPr>
        <w:t>The 457(b) is monitored separately for IRS limits — you can reach the limits in both the 403(b) and the 457(b) as your pay supports.</w:t>
      </w:r>
    </w:p>
    <w:p w14:paraId="4D04BEBE" w14:textId="4A1659B0" w:rsidR="006E0ABB" w:rsidRPr="006E0ABB" w:rsidRDefault="13892A7C" w:rsidP="006E0ABB">
      <w:pPr>
        <w:pStyle w:val="ListBullet"/>
        <w:spacing w:before="40" w:after="40"/>
      </w:pPr>
      <w:r w:rsidRPr="7BBB6AE0">
        <w:rPr>
          <w:rFonts w:ascii="Arial" w:hAnsi="Arial" w:cs="Arial"/>
          <w:color w:val="333333"/>
          <w:sz w:val="20"/>
          <w:szCs w:val="20"/>
        </w:rPr>
        <w:t>Pre-tax contributions are taxable upon distribution (tax-deferred, not tax-free).</w:t>
      </w:r>
    </w:p>
    <w:p w14:paraId="684EDF68" w14:textId="3CC2C839" w:rsidR="7BBB6AE0" w:rsidRDefault="7BBB6AE0" w:rsidP="7BBB6AE0">
      <w:pPr>
        <w:rPr>
          <w:rFonts w:ascii="Arial" w:eastAsia="Arial" w:hAnsi="Arial" w:cs="Arial"/>
          <w:color w:val="333333"/>
          <w:sz w:val="20"/>
          <w:szCs w:val="20"/>
        </w:rPr>
      </w:pPr>
    </w:p>
    <w:p w14:paraId="5BE50830" w14:textId="7C781225"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 xml:space="preserve">8. Comparing </w:t>
      </w:r>
      <w:proofErr w:type="gramStart"/>
      <w:r w:rsidRPr="006E0ABB">
        <w:rPr>
          <w:rFonts w:ascii="Arial" w:hAnsi="Arial" w:cs="Arial"/>
          <w:b/>
          <w:color w:val="003594"/>
          <w:sz w:val="28"/>
        </w:rPr>
        <w:t>the 403</w:t>
      </w:r>
      <w:proofErr w:type="gramEnd"/>
      <w:r w:rsidRPr="006E0ABB">
        <w:rPr>
          <w:rFonts w:ascii="Arial" w:hAnsi="Arial" w:cs="Arial"/>
          <w:b/>
          <w:color w:val="003594"/>
          <w:sz w:val="28"/>
        </w:rPr>
        <w:t xml:space="preserve">(b) and </w:t>
      </w:r>
      <w:proofErr w:type="gramStart"/>
      <w:r w:rsidRPr="006E0ABB">
        <w:rPr>
          <w:rFonts w:ascii="Arial" w:hAnsi="Arial" w:cs="Arial"/>
          <w:b/>
          <w:color w:val="003594"/>
          <w:sz w:val="28"/>
        </w:rPr>
        <w:t>the 457</w:t>
      </w:r>
      <w:proofErr w:type="gramEnd"/>
      <w:r w:rsidRPr="006E0ABB">
        <w:rPr>
          <w:rFonts w:ascii="Arial" w:hAnsi="Arial" w:cs="Arial"/>
          <w:b/>
          <w:color w:val="003594"/>
          <w:sz w:val="28"/>
        </w:rPr>
        <w:t>(b)</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000"/>
        <w:gridCol w:w="4035"/>
        <w:gridCol w:w="4035"/>
      </w:tblGrid>
      <w:tr w:rsidR="006E0ABB" w:rsidRPr="006E0ABB" w14:paraId="421839F2" w14:textId="77777777" w:rsidTr="7BBB6AE0">
        <w:trPr>
          <w:tblHeader/>
        </w:trPr>
        <w:tc>
          <w:tcPr>
            <w:tcW w:w="2000" w:type="dxa"/>
            <w:shd w:val="clear" w:color="auto" w:fill="003594"/>
            <w:tcMar>
              <w:top w:w="60" w:type="dxa"/>
              <w:left w:w="120" w:type="dxa"/>
              <w:bottom w:w="60" w:type="dxa"/>
              <w:right w:w="120" w:type="dxa"/>
            </w:tcMar>
          </w:tcPr>
          <w:p w14:paraId="404A3C56" w14:textId="20EA5F6E" w:rsidR="006E0ABB" w:rsidRPr="006E0ABB" w:rsidRDefault="006E0ABB" w:rsidP="006E0ABB">
            <w:pPr>
              <w:spacing w:before="20" w:after="20"/>
              <w:rPr>
                <w:rFonts w:ascii="Arial" w:eastAsiaTheme="majorEastAsia" w:hAnsi="Arial" w:cs="Arial"/>
                <w:b/>
                <w:color w:val="FFFFFF"/>
                <w:sz w:val="19"/>
                <w:szCs w:val="40"/>
              </w:rPr>
            </w:pPr>
            <w:r w:rsidRPr="006E0ABB">
              <w:rPr>
                <w:rFonts w:ascii="Arial" w:eastAsiaTheme="majorEastAsia" w:hAnsi="Arial" w:cs="Arial"/>
                <w:b/>
                <w:color w:val="FFFFFF"/>
                <w:sz w:val="19"/>
                <w:szCs w:val="40"/>
              </w:rPr>
              <w:t>Feature</w:t>
            </w:r>
          </w:p>
        </w:tc>
        <w:tc>
          <w:tcPr>
            <w:tcW w:w="4040" w:type="dxa"/>
            <w:shd w:val="clear" w:color="auto" w:fill="003594"/>
            <w:tcMar>
              <w:top w:w="60" w:type="dxa"/>
              <w:left w:w="120" w:type="dxa"/>
              <w:bottom w:w="60" w:type="dxa"/>
              <w:right w:w="120" w:type="dxa"/>
            </w:tcMar>
          </w:tcPr>
          <w:p w14:paraId="7AF97DC4" w14:textId="5A5BCB89" w:rsidR="006E0ABB" w:rsidRPr="006E0ABB" w:rsidRDefault="006E0ABB" w:rsidP="006E0ABB">
            <w:pPr>
              <w:spacing w:before="20" w:after="20"/>
              <w:rPr>
                <w:rFonts w:ascii="Arial" w:eastAsiaTheme="majorEastAsia" w:hAnsi="Arial" w:cs="Arial"/>
                <w:b/>
                <w:color w:val="FFFFFF"/>
                <w:sz w:val="19"/>
                <w:szCs w:val="40"/>
              </w:rPr>
            </w:pPr>
            <w:r w:rsidRPr="006E0ABB">
              <w:rPr>
                <w:rFonts w:ascii="Arial" w:eastAsiaTheme="majorEastAsia" w:hAnsi="Arial" w:cs="Arial"/>
                <w:b/>
                <w:color w:val="FFFFFF"/>
                <w:sz w:val="19"/>
                <w:szCs w:val="40"/>
              </w:rPr>
              <w:t>403(b) plan contributions</w:t>
            </w:r>
          </w:p>
        </w:tc>
        <w:tc>
          <w:tcPr>
            <w:tcW w:w="4040" w:type="dxa"/>
            <w:shd w:val="clear" w:color="auto" w:fill="003594"/>
            <w:tcMar>
              <w:top w:w="60" w:type="dxa"/>
              <w:left w:w="120" w:type="dxa"/>
              <w:bottom w:w="60" w:type="dxa"/>
              <w:right w:w="120" w:type="dxa"/>
            </w:tcMar>
          </w:tcPr>
          <w:p w14:paraId="505AAFD4" w14:textId="0E9C390A" w:rsidR="006E0ABB" w:rsidRPr="006E0ABB" w:rsidRDefault="006E0ABB" w:rsidP="006E0ABB">
            <w:pPr>
              <w:spacing w:before="20" w:after="20"/>
              <w:rPr>
                <w:rFonts w:ascii="Arial" w:eastAsiaTheme="majorEastAsia" w:hAnsi="Arial" w:cs="Arial"/>
                <w:b/>
                <w:color w:val="FFFFFF"/>
                <w:sz w:val="19"/>
                <w:szCs w:val="40"/>
              </w:rPr>
            </w:pPr>
            <w:r w:rsidRPr="006E0ABB">
              <w:rPr>
                <w:rFonts w:ascii="Arial" w:eastAsiaTheme="majorEastAsia" w:hAnsi="Arial" w:cs="Arial"/>
                <w:b/>
                <w:color w:val="FFFFFF"/>
                <w:sz w:val="19"/>
                <w:szCs w:val="40"/>
              </w:rPr>
              <w:t>457(b) plan contributions</w:t>
            </w:r>
          </w:p>
        </w:tc>
      </w:tr>
      <w:tr w:rsidR="006E0ABB" w:rsidRPr="006E0ABB" w14:paraId="4EDEFB57" w14:textId="77777777" w:rsidTr="7BBB6AE0">
        <w:tc>
          <w:tcPr>
            <w:tcW w:w="2000" w:type="dxa"/>
            <w:shd w:val="clear" w:color="auto" w:fill="D6E4F7"/>
            <w:tcMar>
              <w:top w:w="60" w:type="dxa"/>
              <w:left w:w="120" w:type="dxa"/>
              <w:bottom w:w="60" w:type="dxa"/>
              <w:right w:w="120" w:type="dxa"/>
            </w:tcMar>
          </w:tcPr>
          <w:p w14:paraId="3673E244" w14:textId="1A44E830"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Eligibility</w:t>
            </w:r>
          </w:p>
        </w:tc>
        <w:tc>
          <w:tcPr>
            <w:tcW w:w="4040" w:type="dxa"/>
            <w:shd w:val="clear" w:color="auto" w:fill="FFFFFF" w:themeFill="background1"/>
            <w:tcMar>
              <w:top w:w="60" w:type="dxa"/>
              <w:left w:w="120" w:type="dxa"/>
              <w:bottom w:w="60" w:type="dxa"/>
              <w:right w:w="120" w:type="dxa"/>
            </w:tcMar>
          </w:tcPr>
          <w:p w14:paraId="16BC0D04" w14:textId="608C2BB6"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Full-time regular faculty, librarians, research associates, and non-union staff; part-time tenure-stream faculty (50%+ effort); part-time regular non-union staff; union employees per CBA</w:t>
            </w:r>
          </w:p>
        </w:tc>
        <w:tc>
          <w:tcPr>
            <w:tcW w:w="4040" w:type="dxa"/>
            <w:shd w:val="clear" w:color="auto" w:fill="FFFFFF" w:themeFill="background1"/>
            <w:tcMar>
              <w:top w:w="60" w:type="dxa"/>
              <w:left w:w="120" w:type="dxa"/>
              <w:bottom w:w="60" w:type="dxa"/>
              <w:right w:w="120" w:type="dxa"/>
            </w:tcMar>
          </w:tcPr>
          <w:p w14:paraId="474C22C7" w14:textId="7C75E0BF"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Same as the 403(b), except active MHSF employees, retirees, and former staff and faculty are not eligible</w:t>
            </w:r>
          </w:p>
        </w:tc>
      </w:tr>
      <w:tr w:rsidR="006E0ABB" w:rsidRPr="006E0ABB" w14:paraId="0AA6D953" w14:textId="77777777" w:rsidTr="7BBB6AE0">
        <w:tc>
          <w:tcPr>
            <w:tcW w:w="2000" w:type="dxa"/>
            <w:shd w:val="clear" w:color="auto" w:fill="D6E4F7"/>
            <w:tcMar>
              <w:top w:w="60" w:type="dxa"/>
              <w:left w:w="120" w:type="dxa"/>
              <w:bottom w:w="60" w:type="dxa"/>
              <w:right w:w="120" w:type="dxa"/>
            </w:tcMar>
          </w:tcPr>
          <w:p w14:paraId="5B5D2AA5" w14:textId="513BF459"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Separate IRS limits</w:t>
            </w:r>
          </w:p>
        </w:tc>
        <w:tc>
          <w:tcPr>
            <w:tcW w:w="4040" w:type="dxa"/>
            <w:shd w:val="clear" w:color="auto" w:fill="FFFFFF" w:themeFill="background1"/>
            <w:tcMar>
              <w:top w:w="60" w:type="dxa"/>
              <w:left w:w="120" w:type="dxa"/>
              <w:bottom w:w="60" w:type="dxa"/>
              <w:right w:w="120" w:type="dxa"/>
            </w:tcMar>
          </w:tcPr>
          <w:p w14:paraId="2039E751" w14:textId="0419E901"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Yes — eligible employees may be able to contribute the maximum to both plans</w:t>
            </w:r>
          </w:p>
        </w:tc>
        <w:tc>
          <w:tcPr>
            <w:tcW w:w="4040" w:type="dxa"/>
            <w:shd w:val="clear" w:color="auto" w:fill="FFFFFF" w:themeFill="background1"/>
            <w:tcMar>
              <w:top w:w="60" w:type="dxa"/>
              <w:left w:w="120" w:type="dxa"/>
              <w:bottom w:w="60" w:type="dxa"/>
              <w:right w:w="120" w:type="dxa"/>
            </w:tcMar>
          </w:tcPr>
          <w:p w14:paraId="686BCD10" w14:textId="710C89B3"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Yes — tracked separately from the 403(b)</w:t>
            </w:r>
          </w:p>
        </w:tc>
      </w:tr>
      <w:tr w:rsidR="006E0ABB" w:rsidRPr="006E0ABB" w14:paraId="410B0CEC" w14:textId="77777777" w:rsidTr="7BBB6AE0">
        <w:tc>
          <w:tcPr>
            <w:tcW w:w="2000" w:type="dxa"/>
            <w:shd w:val="clear" w:color="auto" w:fill="D6E4F7"/>
            <w:tcMar>
              <w:top w:w="60" w:type="dxa"/>
              <w:left w:w="120" w:type="dxa"/>
              <w:bottom w:w="60" w:type="dxa"/>
              <w:right w:w="120" w:type="dxa"/>
            </w:tcMar>
          </w:tcPr>
          <w:p w14:paraId="3DEBF7F4" w14:textId="090B9D07"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2026 contribution limits</w:t>
            </w:r>
          </w:p>
        </w:tc>
        <w:tc>
          <w:tcPr>
            <w:tcW w:w="4040" w:type="dxa"/>
            <w:shd w:val="clear" w:color="auto" w:fill="FFFFFF" w:themeFill="background1"/>
            <w:tcMar>
              <w:top w:w="60" w:type="dxa"/>
              <w:left w:w="120" w:type="dxa"/>
              <w:bottom w:w="60" w:type="dxa"/>
              <w:right w:w="120" w:type="dxa"/>
            </w:tcMar>
          </w:tcPr>
          <w:p w14:paraId="20942B54" w14:textId="1D93D8E8"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Under 50: $24,500 • Ages 50–59 or 64+: $32,500 • Ages 60–63: $35,750</w:t>
            </w:r>
          </w:p>
        </w:tc>
        <w:tc>
          <w:tcPr>
            <w:tcW w:w="4040" w:type="dxa"/>
            <w:shd w:val="clear" w:color="auto" w:fill="FFFFFF" w:themeFill="background1"/>
            <w:tcMar>
              <w:top w:w="60" w:type="dxa"/>
              <w:left w:w="120" w:type="dxa"/>
              <w:bottom w:w="60" w:type="dxa"/>
              <w:right w:w="120" w:type="dxa"/>
            </w:tcMar>
          </w:tcPr>
          <w:p w14:paraId="6F4EE744" w14:textId="4BF4FB12"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Same limits as the 403(b), applied separately</w:t>
            </w:r>
          </w:p>
        </w:tc>
      </w:tr>
      <w:tr w:rsidR="006E0ABB" w:rsidRPr="006E0ABB" w14:paraId="39447D82" w14:textId="77777777" w:rsidTr="7BBB6AE0">
        <w:tc>
          <w:tcPr>
            <w:tcW w:w="2000" w:type="dxa"/>
            <w:shd w:val="clear" w:color="auto" w:fill="D6E4F7"/>
            <w:tcMar>
              <w:top w:w="60" w:type="dxa"/>
              <w:left w:w="120" w:type="dxa"/>
              <w:bottom w:w="60" w:type="dxa"/>
              <w:right w:w="120" w:type="dxa"/>
            </w:tcMar>
          </w:tcPr>
          <w:p w14:paraId="5FFB7EE4" w14:textId="1050C3A0"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University contributions</w:t>
            </w:r>
          </w:p>
        </w:tc>
        <w:tc>
          <w:tcPr>
            <w:tcW w:w="4040" w:type="dxa"/>
            <w:shd w:val="clear" w:color="auto" w:fill="FFFFFF" w:themeFill="background1"/>
            <w:tcMar>
              <w:top w:w="60" w:type="dxa"/>
              <w:left w:w="120" w:type="dxa"/>
              <w:bottom w:w="60" w:type="dxa"/>
              <w:right w:w="120" w:type="dxa"/>
            </w:tcMar>
          </w:tcPr>
          <w:p w14:paraId="4E3FE3C5" w14:textId="056D7BB0"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Yes — the University matches 3–8% (based on eligibility)</w:t>
            </w:r>
          </w:p>
        </w:tc>
        <w:tc>
          <w:tcPr>
            <w:tcW w:w="4040" w:type="dxa"/>
            <w:shd w:val="clear" w:color="auto" w:fill="FFFFFF" w:themeFill="background1"/>
            <w:tcMar>
              <w:top w:w="60" w:type="dxa"/>
              <w:left w:w="120" w:type="dxa"/>
              <w:bottom w:w="60" w:type="dxa"/>
              <w:right w:w="120" w:type="dxa"/>
            </w:tcMar>
          </w:tcPr>
          <w:p w14:paraId="0411C879" w14:textId="542EC902"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No — the University does not make matching contributions</w:t>
            </w:r>
          </w:p>
        </w:tc>
      </w:tr>
      <w:tr w:rsidR="006E0ABB" w:rsidRPr="006E0ABB" w14:paraId="43B736B0" w14:textId="77777777" w:rsidTr="7BBB6AE0">
        <w:tc>
          <w:tcPr>
            <w:tcW w:w="2000" w:type="dxa"/>
            <w:shd w:val="clear" w:color="auto" w:fill="D6E4F7"/>
            <w:tcMar>
              <w:top w:w="60" w:type="dxa"/>
              <w:left w:w="120" w:type="dxa"/>
              <w:bottom w:w="60" w:type="dxa"/>
              <w:right w:w="120" w:type="dxa"/>
            </w:tcMar>
          </w:tcPr>
          <w:p w14:paraId="138FBCDF" w14:textId="21E222CD"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Early withdrawal penalty</w:t>
            </w:r>
          </w:p>
        </w:tc>
        <w:tc>
          <w:tcPr>
            <w:tcW w:w="4040" w:type="dxa"/>
            <w:shd w:val="clear" w:color="auto" w:fill="FFFFFF" w:themeFill="background1"/>
            <w:tcMar>
              <w:top w:w="60" w:type="dxa"/>
              <w:left w:w="120" w:type="dxa"/>
              <w:bottom w:w="60" w:type="dxa"/>
              <w:right w:w="120" w:type="dxa"/>
            </w:tcMar>
          </w:tcPr>
          <w:p w14:paraId="0C4D65EC" w14:textId="7B5DDA7A"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10% penalty for withdrawals before age 59½</w:t>
            </w:r>
          </w:p>
        </w:tc>
        <w:tc>
          <w:tcPr>
            <w:tcW w:w="4040" w:type="dxa"/>
            <w:shd w:val="clear" w:color="auto" w:fill="FFFFFF" w:themeFill="background1"/>
            <w:tcMar>
              <w:top w:w="60" w:type="dxa"/>
              <w:left w:w="120" w:type="dxa"/>
              <w:bottom w:w="60" w:type="dxa"/>
              <w:right w:w="120" w:type="dxa"/>
            </w:tcMar>
          </w:tcPr>
          <w:p w14:paraId="104BB6F9" w14:textId="5A936983"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After you leave the University, distributions are not subject to the 403(b) early-withdrawal penalty</w:t>
            </w:r>
          </w:p>
        </w:tc>
      </w:tr>
      <w:tr w:rsidR="006E0ABB" w:rsidRPr="006E0ABB" w14:paraId="60E73508" w14:textId="77777777" w:rsidTr="7BBB6AE0">
        <w:tc>
          <w:tcPr>
            <w:tcW w:w="2000" w:type="dxa"/>
            <w:shd w:val="clear" w:color="auto" w:fill="D6E4F7"/>
            <w:tcMar>
              <w:top w:w="60" w:type="dxa"/>
              <w:left w:w="120" w:type="dxa"/>
              <w:bottom w:w="60" w:type="dxa"/>
              <w:right w:w="120" w:type="dxa"/>
            </w:tcMar>
          </w:tcPr>
          <w:p w14:paraId="66B9DBAC" w14:textId="6443B5B5"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Rollovers</w:t>
            </w:r>
          </w:p>
        </w:tc>
        <w:tc>
          <w:tcPr>
            <w:tcW w:w="4040" w:type="dxa"/>
            <w:shd w:val="clear" w:color="auto" w:fill="FFFFFF" w:themeFill="background1"/>
            <w:tcMar>
              <w:top w:w="60" w:type="dxa"/>
              <w:left w:w="120" w:type="dxa"/>
              <w:bottom w:w="60" w:type="dxa"/>
              <w:right w:w="120" w:type="dxa"/>
            </w:tcMar>
          </w:tcPr>
          <w:p w14:paraId="032D383E" w14:textId="149EC8E8"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Permitted to and from IRAs, 403(b), 401(a), 401(k), and other 457(b) public plans that accept them</w:t>
            </w:r>
          </w:p>
        </w:tc>
        <w:tc>
          <w:tcPr>
            <w:tcW w:w="4040" w:type="dxa"/>
            <w:shd w:val="clear" w:color="auto" w:fill="FFFFFF" w:themeFill="background1"/>
            <w:tcMar>
              <w:top w:w="60" w:type="dxa"/>
              <w:left w:w="120" w:type="dxa"/>
              <w:bottom w:w="60" w:type="dxa"/>
              <w:right w:w="120" w:type="dxa"/>
            </w:tcMar>
          </w:tcPr>
          <w:p w14:paraId="78D3656E" w14:textId="2A8E3231"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Not permitted to or from 457(b) private plans; University 403(b)/401(a) money cannot roll into the 457(b) while you are actively employed</w:t>
            </w:r>
          </w:p>
        </w:tc>
      </w:tr>
    </w:tbl>
    <w:p w14:paraId="7CE965B8" w14:textId="77777777" w:rsidR="006E0ABB" w:rsidRPr="006E0ABB" w:rsidRDefault="006E0ABB" w:rsidP="006E0ABB">
      <w:pPr>
        <w:spacing w:after="0"/>
        <w:rPr>
          <w:rFonts w:ascii="Arial" w:hAnsi="Arial" w:cs="Arial"/>
          <w:color w:val="333333"/>
          <w:sz w:val="8"/>
        </w:rPr>
      </w:pPr>
    </w:p>
    <w:p w14:paraId="2045774D" w14:textId="23FE7C46" w:rsidR="006E0ABB" w:rsidRPr="006E0ABB" w:rsidRDefault="13892A7C" w:rsidP="006E0ABB">
      <w:pPr>
        <w:spacing w:before="60" w:after="60"/>
      </w:pPr>
      <w:r w:rsidRPr="7BBB6AE0">
        <w:rPr>
          <w:rFonts w:ascii="Arial" w:hAnsi="Arial" w:cs="Arial"/>
          <w:color w:val="555555"/>
          <w:sz w:val="18"/>
          <w:szCs w:val="18"/>
        </w:rPr>
        <w:t>The IRS calculates your limit based on your age as of December 31 of the applicable year.</w:t>
      </w:r>
    </w:p>
    <w:p w14:paraId="4B0F801B" w14:textId="6069283B" w:rsidR="7BBB6AE0" w:rsidRDefault="7BBB6AE0" w:rsidP="7BBB6AE0">
      <w:pPr>
        <w:rPr>
          <w:rFonts w:ascii="Arial" w:eastAsia="Arial" w:hAnsi="Arial" w:cs="Arial"/>
          <w:color w:val="333333"/>
          <w:sz w:val="20"/>
          <w:szCs w:val="20"/>
        </w:rPr>
      </w:pPr>
    </w:p>
    <w:p w14:paraId="0C621E98" w14:textId="2B3C6830"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9. Noncontributory Defined Benefit Pension Plan</w:t>
      </w:r>
    </w:p>
    <w:p w14:paraId="0DEF3FB4" w14:textId="2E6B835B"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A grandfathered pension plan funded entirely by the University through a trust at Mellon Bank; employees do not contribute. The plan was discontinued after 2015 and is administered by the Pension Center.</w:t>
      </w:r>
    </w:p>
    <w:p w14:paraId="6E32546F" w14:textId="1BDE293A"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Benefit formula:</w:t>
      </w:r>
      <w:r w:rsidRPr="3E437E34">
        <w:rPr>
          <w:rFonts w:ascii="Arial" w:hAnsi="Arial" w:cs="Arial"/>
          <w:color w:val="333333"/>
          <w:sz w:val="20"/>
          <w:szCs w:val="20"/>
        </w:rPr>
        <w:t xml:space="preserve"> based on salary, years of participation, and age at retirement. For each year of participation, a participant accrues a benefit equal to 2.1% of compensation.</w:t>
      </w:r>
    </w:p>
    <w:p w14:paraId="1D553BCF" w14:textId="69E4256D"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Vesting:</w:t>
      </w:r>
      <w:r w:rsidRPr="3E437E34">
        <w:rPr>
          <w:rFonts w:ascii="Arial" w:hAnsi="Arial" w:cs="Arial"/>
          <w:color w:val="333333"/>
          <w:sz w:val="20"/>
          <w:szCs w:val="20"/>
        </w:rPr>
        <w:t xml:space="preserve"> 5-year vesting period.</w:t>
      </w:r>
    </w:p>
    <w:p w14:paraId="7A1503FC" w14:textId="1346C3F9" w:rsidR="006E0ABB" w:rsidRPr="006E0ABB" w:rsidRDefault="34E17FA7"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Eligibility:</w:t>
      </w:r>
      <w:r w:rsidRPr="3E437E34">
        <w:rPr>
          <w:rFonts w:ascii="Arial" w:hAnsi="Arial" w:cs="Arial"/>
          <w:color w:val="333333"/>
          <w:sz w:val="20"/>
          <w:szCs w:val="20"/>
        </w:rPr>
        <w:t xml:space="preserve"> closed to new participants. Only current participating members continue to receive benefits; union employees should check their CBA.</w:t>
      </w:r>
    </w:p>
    <w:p w14:paraId="499B2EBC" w14:textId="3B7CB57A" w:rsidR="006E0ABB" w:rsidRPr="006E0ABB" w:rsidRDefault="17B26621" w:rsidP="3E437E34">
      <w:pPr>
        <w:pStyle w:val="ListBullet"/>
        <w:spacing w:before="40" w:after="40"/>
      </w:pPr>
      <w:r w:rsidRPr="7BBB6AE0">
        <w:rPr>
          <w:rFonts w:ascii="Arial" w:hAnsi="Arial" w:cs="Arial"/>
          <w:b/>
          <w:bCs/>
          <w:color w:val="333333"/>
          <w:sz w:val="20"/>
          <w:szCs w:val="20"/>
        </w:rPr>
        <w:lastRenderedPageBreak/>
        <w:t>Switching to the Defined Contribution Matching Plan:</w:t>
      </w:r>
      <w:r w:rsidRPr="7BBB6AE0">
        <w:rPr>
          <w:rFonts w:ascii="Arial" w:hAnsi="Arial" w:cs="Arial"/>
          <w:color w:val="333333"/>
          <w:sz w:val="20"/>
          <w:szCs w:val="20"/>
        </w:rPr>
        <w:t xml:space="preserve"> if you are covered by the Defined Benefit Plan and have never enrolled in the Defined Contribution program, you may be eligible for the Once-in-Career Change Option. Re-enrollment in the Defined Benefit Plan is not allowed after this change. Call the Benefits Department at 833-852-2210 to discuss your options.</w:t>
      </w:r>
    </w:p>
    <w:p w14:paraId="3544618F" w14:textId="21E6EB77" w:rsidR="7BBB6AE0" w:rsidRDefault="7BBB6AE0" w:rsidP="7BBB6AE0">
      <w:pPr>
        <w:rPr>
          <w:rFonts w:ascii="Arial" w:eastAsia="Arial" w:hAnsi="Arial" w:cs="Arial"/>
          <w:color w:val="333333"/>
          <w:sz w:val="20"/>
          <w:szCs w:val="20"/>
        </w:rPr>
      </w:pPr>
    </w:p>
    <w:p w14:paraId="64FC78F2" w14:textId="44B8C6B0" w:rsidR="006E0ABB" w:rsidRPr="006E0ABB" w:rsidRDefault="006E0ABB" w:rsidP="006E0ABB">
      <w:pPr>
        <w:pStyle w:val="Heading1"/>
        <w:spacing w:before="240" w:after="120"/>
        <w:rPr>
          <w:rFonts w:ascii="Arial" w:hAnsi="Arial" w:cs="Arial"/>
          <w:b/>
          <w:color w:val="003594"/>
          <w:sz w:val="28"/>
        </w:rPr>
      </w:pPr>
      <w:r w:rsidRPr="006E0ABB">
        <w:rPr>
          <w:rFonts w:ascii="Arial" w:hAnsi="Arial" w:cs="Arial"/>
          <w:b/>
          <w:color w:val="003594"/>
          <w:sz w:val="28"/>
        </w:rPr>
        <w:t>10. TIAA Guest Speaker Segment</w:t>
      </w:r>
    </w:p>
    <w:p w14:paraId="633339B2" w14:textId="3F395E45" w:rsidR="006E0ABB" w:rsidRPr="006E0ABB" w:rsidRDefault="006E0ABB" w:rsidP="006E0ABB">
      <w:pPr>
        <w:spacing w:before="60" w:after="60"/>
        <w:rPr>
          <w:rFonts w:ascii="Arial" w:hAnsi="Arial" w:cs="Arial"/>
          <w:color w:val="333333"/>
          <w:sz w:val="20"/>
        </w:rPr>
      </w:pPr>
      <w:r w:rsidRPr="006E0ABB">
        <w:rPr>
          <w:rFonts w:ascii="Arial" w:hAnsi="Arial" w:cs="Arial"/>
          <w:color w:val="333333"/>
          <w:sz w:val="20"/>
        </w:rPr>
        <w:t>Adam Rayburg, Wealth Management Advisor at TIAA, presented the session’s income, savings, and financial planning strategies.</w:t>
      </w:r>
    </w:p>
    <w:p w14:paraId="04916F6E" w14:textId="5A6C8B34" w:rsidR="006E0ABB" w:rsidRPr="006E0ABB" w:rsidRDefault="17B26621" w:rsidP="006E0ABB">
      <w:pPr>
        <w:spacing w:before="60" w:after="60"/>
      </w:pPr>
      <w:r w:rsidRPr="7BBB6AE0">
        <w:rPr>
          <w:rFonts w:ascii="Arial" w:hAnsi="Arial" w:cs="Arial"/>
          <w:color w:val="555555"/>
          <w:sz w:val="18"/>
          <w:szCs w:val="18"/>
        </w:rPr>
        <w:t>Per TIAA policy, this segment’s content and slides are not reproduced here. For personalized guidance, schedule a free one-on-one with a TIAA financial consultant (see Section 11).</w:t>
      </w:r>
    </w:p>
    <w:p w14:paraId="109D2263" w14:textId="294C64A0" w:rsidR="7BBB6AE0" w:rsidRDefault="7BBB6AE0" w:rsidP="7BBB6AE0">
      <w:pPr>
        <w:rPr>
          <w:rFonts w:ascii="Arial" w:eastAsia="Arial" w:hAnsi="Arial" w:cs="Arial"/>
          <w:color w:val="333333"/>
          <w:sz w:val="20"/>
          <w:szCs w:val="20"/>
        </w:rPr>
      </w:pPr>
    </w:p>
    <w:p w14:paraId="00C0E843" w14:textId="4EBA9230" w:rsidR="006E0ABB" w:rsidRPr="006E0ABB" w:rsidRDefault="34E17FA7" w:rsidP="3E437E34">
      <w:pPr>
        <w:pStyle w:val="Heading1"/>
        <w:spacing w:before="240" w:after="120"/>
        <w:rPr>
          <w:rFonts w:ascii="Arial" w:hAnsi="Arial" w:cs="Arial"/>
          <w:b/>
          <w:bCs/>
          <w:color w:val="003594"/>
          <w:sz w:val="28"/>
          <w:szCs w:val="28"/>
        </w:rPr>
      </w:pPr>
      <w:r w:rsidRPr="3E437E34">
        <w:rPr>
          <w:rFonts w:ascii="Arial" w:hAnsi="Arial" w:cs="Arial"/>
          <w:b/>
          <w:bCs/>
          <w:color w:val="003594"/>
          <w:sz w:val="28"/>
          <w:szCs w:val="28"/>
        </w:rPr>
        <w:t>1</w:t>
      </w:r>
      <w:r w:rsidR="225B6FCC" w:rsidRPr="3E437E34">
        <w:rPr>
          <w:rFonts w:ascii="Arial" w:hAnsi="Arial" w:cs="Arial"/>
          <w:b/>
          <w:bCs/>
          <w:color w:val="003594"/>
          <w:sz w:val="28"/>
          <w:szCs w:val="28"/>
        </w:rPr>
        <w:t>1</w:t>
      </w:r>
      <w:r w:rsidRPr="3E437E34">
        <w:rPr>
          <w:rFonts w:ascii="Arial" w:hAnsi="Arial" w:cs="Arial"/>
          <w:b/>
          <w:bCs/>
          <w:color w:val="003594"/>
          <w:sz w:val="28"/>
          <w:szCs w:val="28"/>
        </w:rPr>
        <w:t>. Contacts &amp; Resources</w:t>
      </w:r>
    </w:p>
    <w:tbl>
      <w:tblPr>
        <w:tblStyle w:val="TableGrid"/>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397"/>
        <w:gridCol w:w="2196"/>
        <w:gridCol w:w="5477"/>
      </w:tblGrid>
      <w:tr w:rsidR="006E0ABB" w:rsidRPr="006E0ABB" w14:paraId="1FFFAF39" w14:textId="77777777" w:rsidTr="7BBB6AE0">
        <w:trPr>
          <w:tblHeader/>
        </w:trPr>
        <w:tc>
          <w:tcPr>
            <w:tcW w:w="2400" w:type="dxa"/>
            <w:shd w:val="clear" w:color="auto" w:fill="003594"/>
            <w:tcMar>
              <w:top w:w="60" w:type="dxa"/>
              <w:left w:w="120" w:type="dxa"/>
              <w:bottom w:w="60" w:type="dxa"/>
              <w:right w:w="120" w:type="dxa"/>
            </w:tcMar>
          </w:tcPr>
          <w:p w14:paraId="3AEBC1F0" w14:textId="7C6E2A40" w:rsidR="006E0ABB" w:rsidRPr="006E0ABB" w:rsidRDefault="006E0ABB" w:rsidP="006E0ABB">
            <w:pPr>
              <w:spacing w:before="20" w:after="20"/>
              <w:rPr>
                <w:rFonts w:ascii="Arial" w:eastAsiaTheme="majorEastAsia" w:hAnsi="Arial" w:cs="Arial"/>
                <w:b/>
                <w:color w:val="FFFFFF"/>
                <w:sz w:val="19"/>
                <w:szCs w:val="40"/>
              </w:rPr>
            </w:pPr>
            <w:r w:rsidRPr="006E0ABB">
              <w:rPr>
                <w:rFonts w:ascii="Arial" w:eastAsiaTheme="majorEastAsia" w:hAnsi="Arial" w:cs="Arial"/>
                <w:b/>
                <w:color w:val="FFFFFF"/>
                <w:sz w:val="19"/>
                <w:szCs w:val="40"/>
              </w:rPr>
              <w:t>Organization</w:t>
            </w:r>
          </w:p>
        </w:tc>
        <w:tc>
          <w:tcPr>
            <w:tcW w:w="2200" w:type="dxa"/>
            <w:shd w:val="clear" w:color="auto" w:fill="003594"/>
            <w:tcMar>
              <w:top w:w="60" w:type="dxa"/>
              <w:left w:w="120" w:type="dxa"/>
              <w:bottom w:w="60" w:type="dxa"/>
              <w:right w:w="120" w:type="dxa"/>
            </w:tcMar>
          </w:tcPr>
          <w:p w14:paraId="017BD993" w14:textId="2957C8D2" w:rsidR="006E0ABB" w:rsidRPr="006E0ABB" w:rsidRDefault="006E0ABB" w:rsidP="006E0ABB">
            <w:pPr>
              <w:spacing w:before="20" w:after="20"/>
              <w:rPr>
                <w:rFonts w:ascii="Arial" w:eastAsiaTheme="majorEastAsia" w:hAnsi="Arial" w:cs="Arial"/>
                <w:b/>
                <w:color w:val="FFFFFF"/>
                <w:sz w:val="19"/>
                <w:szCs w:val="40"/>
              </w:rPr>
            </w:pPr>
            <w:r w:rsidRPr="006E0ABB">
              <w:rPr>
                <w:rFonts w:ascii="Arial" w:eastAsiaTheme="majorEastAsia" w:hAnsi="Arial" w:cs="Arial"/>
                <w:b/>
                <w:color w:val="FFFFFF"/>
                <w:sz w:val="19"/>
                <w:szCs w:val="40"/>
              </w:rPr>
              <w:t>Phone</w:t>
            </w:r>
          </w:p>
        </w:tc>
        <w:tc>
          <w:tcPr>
            <w:tcW w:w="5480" w:type="dxa"/>
            <w:shd w:val="clear" w:color="auto" w:fill="003594"/>
            <w:tcMar>
              <w:top w:w="60" w:type="dxa"/>
              <w:left w:w="120" w:type="dxa"/>
              <w:bottom w:w="60" w:type="dxa"/>
              <w:right w:w="120" w:type="dxa"/>
            </w:tcMar>
          </w:tcPr>
          <w:p w14:paraId="07569786" w14:textId="27BFE599" w:rsidR="006E0ABB" w:rsidRPr="006E0ABB" w:rsidRDefault="006E0ABB" w:rsidP="006E0ABB">
            <w:pPr>
              <w:spacing w:before="20" w:after="20"/>
              <w:rPr>
                <w:rFonts w:ascii="Arial" w:eastAsiaTheme="majorEastAsia" w:hAnsi="Arial" w:cs="Arial"/>
                <w:b/>
                <w:color w:val="FFFFFF"/>
                <w:sz w:val="19"/>
                <w:szCs w:val="40"/>
              </w:rPr>
            </w:pPr>
            <w:r w:rsidRPr="006E0ABB">
              <w:rPr>
                <w:rFonts w:ascii="Arial" w:eastAsiaTheme="majorEastAsia" w:hAnsi="Arial" w:cs="Arial"/>
                <w:b/>
                <w:color w:val="FFFFFF"/>
                <w:sz w:val="19"/>
                <w:szCs w:val="40"/>
              </w:rPr>
              <w:t>Website / notes</w:t>
            </w:r>
          </w:p>
        </w:tc>
      </w:tr>
      <w:tr w:rsidR="006E0ABB" w:rsidRPr="006E0ABB" w14:paraId="391723E3" w14:textId="77777777" w:rsidTr="7BBB6AE0">
        <w:tc>
          <w:tcPr>
            <w:tcW w:w="2400" w:type="dxa"/>
            <w:shd w:val="clear" w:color="auto" w:fill="D6E4F7"/>
            <w:tcMar>
              <w:top w:w="60" w:type="dxa"/>
              <w:left w:w="120" w:type="dxa"/>
              <w:bottom w:w="60" w:type="dxa"/>
              <w:right w:w="120" w:type="dxa"/>
            </w:tcMar>
          </w:tcPr>
          <w:p w14:paraId="2EF1DDE2" w14:textId="07D7F919"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OHR Benefits Department</w:t>
            </w:r>
          </w:p>
        </w:tc>
        <w:tc>
          <w:tcPr>
            <w:tcW w:w="2200" w:type="dxa"/>
            <w:shd w:val="clear" w:color="auto" w:fill="FFFFFF" w:themeFill="background1"/>
            <w:tcMar>
              <w:top w:w="60" w:type="dxa"/>
              <w:left w:w="120" w:type="dxa"/>
              <w:bottom w:w="60" w:type="dxa"/>
              <w:right w:w="120" w:type="dxa"/>
            </w:tcMar>
          </w:tcPr>
          <w:p w14:paraId="0FDA03D4" w14:textId="037BF7BF"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833-852-2210 (Mon–Fri 8:30 a.m.–5 p.m.)</w:t>
            </w:r>
          </w:p>
        </w:tc>
        <w:tc>
          <w:tcPr>
            <w:tcW w:w="5480" w:type="dxa"/>
            <w:shd w:val="clear" w:color="auto" w:fill="FFFFFF" w:themeFill="background1"/>
            <w:tcMar>
              <w:top w:w="60" w:type="dxa"/>
              <w:left w:w="120" w:type="dxa"/>
              <w:bottom w:w="60" w:type="dxa"/>
              <w:right w:w="120" w:type="dxa"/>
            </w:tcMar>
          </w:tcPr>
          <w:p w14:paraId="39D19A3F" w14:textId="45DC0EB0"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hr.pitt.edu/contact-</w:t>
            </w:r>
            <w:proofErr w:type="spellStart"/>
            <w:r w:rsidRPr="006E0ABB">
              <w:rPr>
                <w:rFonts w:ascii="Arial" w:eastAsiaTheme="majorEastAsia" w:hAnsi="Arial" w:cs="Arial"/>
                <w:color w:val="333333"/>
                <w:sz w:val="19"/>
                <w:szCs w:val="40"/>
              </w:rPr>
              <w:t>ohr</w:t>
            </w:r>
            <w:proofErr w:type="spellEnd"/>
            <w:r w:rsidRPr="006E0ABB">
              <w:rPr>
                <w:rFonts w:ascii="Arial" w:eastAsiaTheme="majorEastAsia" w:hAnsi="Arial" w:cs="Arial"/>
                <w:color w:val="333333"/>
                <w:sz w:val="19"/>
                <w:szCs w:val="40"/>
              </w:rPr>
              <w:t xml:space="preserve"> • hr.pitt.edu/current-employees/benefits • retiree pages at hr.pitt.edu/retirees (Steps Toward Retirement checklist, retiree status eligibility, Pre-65 and </w:t>
            </w:r>
            <w:proofErr w:type="gramStart"/>
            <w:r w:rsidRPr="006E0ABB">
              <w:rPr>
                <w:rFonts w:ascii="Arial" w:eastAsiaTheme="majorEastAsia" w:hAnsi="Arial" w:cs="Arial"/>
                <w:color w:val="333333"/>
                <w:sz w:val="19"/>
                <w:szCs w:val="40"/>
              </w:rPr>
              <w:t>Post-65</w:t>
            </w:r>
            <w:proofErr w:type="gramEnd"/>
            <w:r w:rsidRPr="006E0ABB">
              <w:rPr>
                <w:rFonts w:ascii="Arial" w:eastAsiaTheme="majorEastAsia" w:hAnsi="Arial" w:cs="Arial"/>
                <w:color w:val="333333"/>
                <w:sz w:val="19"/>
                <w:szCs w:val="40"/>
              </w:rPr>
              <w:t xml:space="preserve"> coverage, Defined Dollar Benefit Program, helpful tools)</w:t>
            </w:r>
          </w:p>
        </w:tc>
      </w:tr>
      <w:tr w:rsidR="006E0ABB" w:rsidRPr="006E0ABB" w14:paraId="230EADC7" w14:textId="77777777" w:rsidTr="7BBB6AE0">
        <w:tc>
          <w:tcPr>
            <w:tcW w:w="2400" w:type="dxa"/>
            <w:shd w:val="clear" w:color="auto" w:fill="D6E4F7"/>
            <w:tcMar>
              <w:top w:w="60" w:type="dxa"/>
              <w:left w:w="120" w:type="dxa"/>
              <w:bottom w:w="60" w:type="dxa"/>
              <w:right w:w="120" w:type="dxa"/>
            </w:tcMar>
          </w:tcPr>
          <w:p w14:paraId="47C89813" w14:textId="262C4789"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Retirement Savings Plans (Defined Contribution — TIAA)</w:t>
            </w:r>
          </w:p>
        </w:tc>
        <w:tc>
          <w:tcPr>
            <w:tcW w:w="2200" w:type="dxa"/>
            <w:shd w:val="clear" w:color="auto" w:fill="FFFFFF" w:themeFill="background1"/>
            <w:tcMar>
              <w:top w:w="60" w:type="dxa"/>
              <w:left w:w="120" w:type="dxa"/>
              <w:bottom w:w="60" w:type="dxa"/>
              <w:right w:w="120" w:type="dxa"/>
            </w:tcMar>
          </w:tcPr>
          <w:p w14:paraId="757EFE38" w14:textId="0BC12532"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833-852-2210 (OHR Benefits)</w:t>
            </w:r>
          </w:p>
        </w:tc>
        <w:tc>
          <w:tcPr>
            <w:tcW w:w="5480" w:type="dxa"/>
            <w:shd w:val="clear" w:color="auto" w:fill="FFFFFF" w:themeFill="background1"/>
            <w:tcMar>
              <w:top w:w="60" w:type="dxa"/>
              <w:left w:w="120" w:type="dxa"/>
              <w:bottom w:w="60" w:type="dxa"/>
              <w:right w:w="120" w:type="dxa"/>
            </w:tcMar>
          </w:tcPr>
          <w:p w14:paraId="23EBAB13" w14:textId="0BBC9B27"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hr.pitt.edu/current-employees/benefits/retirement-savings-plan/defined-contribution • Universal Availability Notice: hr.pitt.edu/sites/default/files/AvailabilityNotice.pdf</w:t>
            </w:r>
          </w:p>
        </w:tc>
      </w:tr>
      <w:tr w:rsidR="006E0ABB" w:rsidRPr="006E0ABB" w14:paraId="2EFD2BB3" w14:textId="77777777" w:rsidTr="7BBB6AE0">
        <w:tc>
          <w:tcPr>
            <w:tcW w:w="2400" w:type="dxa"/>
            <w:shd w:val="clear" w:color="auto" w:fill="D6E4F7"/>
            <w:tcMar>
              <w:top w:w="60" w:type="dxa"/>
              <w:left w:w="120" w:type="dxa"/>
              <w:bottom w:w="60" w:type="dxa"/>
              <w:right w:w="120" w:type="dxa"/>
            </w:tcMar>
          </w:tcPr>
          <w:p w14:paraId="052D75C7" w14:textId="5D98CC2E"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TIAA</w:t>
            </w:r>
          </w:p>
        </w:tc>
        <w:tc>
          <w:tcPr>
            <w:tcW w:w="2200" w:type="dxa"/>
            <w:shd w:val="clear" w:color="auto" w:fill="FFFFFF" w:themeFill="background1"/>
            <w:tcMar>
              <w:top w:w="60" w:type="dxa"/>
              <w:left w:w="120" w:type="dxa"/>
              <w:bottom w:w="60" w:type="dxa"/>
              <w:right w:w="120" w:type="dxa"/>
            </w:tcMar>
          </w:tcPr>
          <w:p w14:paraId="3C0BF589" w14:textId="49DDF693"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800-682-9139 (Mon–Fri 8 a.m.–10 p.m. ET; Sat 9 a.m.–6 p.m. ET)</w:t>
            </w:r>
          </w:p>
        </w:tc>
        <w:tc>
          <w:tcPr>
            <w:tcW w:w="5480" w:type="dxa"/>
            <w:shd w:val="clear" w:color="auto" w:fill="FFFFFF" w:themeFill="background1"/>
            <w:tcMar>
              <w:top w:w="60" w:type="dxa"/>
              <w:left w:w="120" w:type="dxa"/>
              <w:bottom w:w="60" w:type="dxa"/>
              <w:right w:w="120" w:type="dxa"/>
            </w:tcMar>
          </w:tcPr>
          <w:p w14:paraId="31D762FC" w14:textId="63493486"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TIAA.org/pitt • webinars: tiaa.org/webinars</w:t>
            </w:r>
          </w:p>
        </w:tc>
      </w:tr>
      <w:tr w:rsidR="006E0ABB" w:rsidRPr="006E0ABB" w14:paraId="3A341DF6" w14:textId="77777777" w:rsidTr="7BBB6AE0">
        <w:tc>
          <w:tcPr>
            <w:tcW w:w="2400" w:type="dxa"/>
            <w:shd w:val="clear" w:color="auto" w:fill="D6E4F7"/>
            <w:tcMar>
              <w:top w:w="60" w:type="dxa"/>
              <w:left w:w="120" w:type="dxa"/>
              <w:bottom w:w="60" w:type="dxa"/>
              <w:right w:w="120" w:type="dxa"/>
            </w:tcMar>
          </w:tcPr>
          <w:p w14:paraId="418236D0" w14:textId="0A70F1B1" w:rsidR="006E0ABB" w:rsidRPr="006E0ABB" w:rsidRDefault="006E0ABB" w:rsidP="006E0ABB">
            <w:pPr>
              <w:spacing w:before="20" w:after="20"/>
              <w:rPr>
                <w:rFonts w:ascii="Arial" w:eastAsiaTheme="majorEastAsia" w:hAnsi="Arial" w:cs="Arial"/>
                <w:b/>
                <w:color w:val="003594"/>
                <w:sz w:val="19"/>
                <w:szCs w:val="40"/>
              </w:rPr>
            </w:pPr>
            <w:r w:rsidRPr="006E0ABB">
              <w:rPr>
                <w:rFonts w:ascii="Arial" w:eastAsiaTheme="majorEastAsia" w:hAnsi="Arial" w:cs="Arial"/>
                <w:b/>
                <w:color w:val="003594"/>
                <w:sz w:val="19"/>
                <w:szCs w:val="40"/>
              </w:rPr>
              <w:t>Defined Benefit Pension Plan (University Pension Center)</w:t>
            </w:r>
          </w:p>
        </w:tc>
        <w:tc>
          <w:tcPr>
            <w:tcW w:w="2200" w:type="dxa"/>
            <w:shd w:val="clear" w:color="auto" w:fill="FFFFFF" w:themeFill="background1"/>
            <w:tcMar>
              <w:top w:w="60" w:type="dxa"/>
              <w:left w:w="120" w:type="dxa"/>
              <w:bottom w:w="60" w:type="dxa"/>
              <w:right w:w="120" w:type="dxa"/>
            </w:tcMar>
          </w:tcPr>
          <w:p w14:paraId="3B7D99A9" w14:textId="29F4D431"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Contact OHR Benefits at 833-852-2210</w:t>
            </w:r>
          </w:p>
        </w:tc>
        <w:tc>
          <w:tcPr>
            <w:tcW w:w="5480" w:type="dxa"/>
            <w:shd w:val="clear" w:color="auto" w:fill="FFFFFF" w:themeFill="background1"/>
            <w:tcMar>
              <w:top w:w="60" w:type="dxa"/>
              <w:left w:w="120" w:type="dxa"/>
              <w:bottom w:w="60" w:type="dxa"/>
              <w:right w:w="120" w:type="dxa"/>
            </w:tcMar>
          </w:tcPr>
          <w:p w14:paraId="5C7CC8E7" w14:textId="307D1AD1" w:rsidR="006E0ABB" w:rsidRPr="006E0ABB" w:rsidRDefault="006E0ABB" w:rsidP="006E0ABB">
            <w:pPr>
              <w:spacing w:before="20" w:after="20"/>
              <w:rPr>
                <w:rFonts w:ascii="Arial" w:eastAsiaTheme="majorEastAsia" w:hAnsi="Arial" w:cs="Arial"/>
                <w:color w:val="333333"/>
                <w:sz w:val="19"/>
                <w:szCs w:val="40"/>
              </w:rPr>
            </w:pPr>
            <w:r w:rsidRPr="006E0ABB">
              <w:rPr>
                <w:rFonts w:ascii="Arial" w:eastAsiaTheme="majorEastAsia" w:hAnsi="Arial" w:cs="Arial"/>
                <w:color w:val="333333"/>
                <w:sz w:val="19"/>
                <w:szCs w:val="40"/>
              </w:rPr>
              <w:t>hr.pitt.edu/current-employees/benefits/retirement-savings-plan/noncontributory</w:t>
            </w:r>
          </w:p>
        </w:tc>
      </w:tr>
    </w:tbl>
    <w:p w14:paraId="2EE24C8A" w14:textId="77777777" w:rsidR="006E0ABB" w:rsidRPr="006E0ABB" w:rsidRDefault="006E0ABB" w:rsidP="006E0ABB">
      <w:pPr>
        <w:spacing w:after="0"/>
        <w:rPr>
          <w:rFonts w:ascii="Arial" w:hAnsi="Arial" w:cs="Arial"/>
          <w:color w:val="333333"/>
          <w:sz w:val="8"/>
        </w:rPr>
      </w:pPr>
    </w:p>
    <w:p w14:paraId="36660174" w14:textId="51DDC5C0" w:rsidR="006E0ABB" w:rsidRPr="006E0ABB" w:rsidRDefault="34E17FA7" w:rsidP="3E437E34">
      <w:pPr>
        <w:pStyle w:val="Heading1"/>
        <w:spacing w:before="240" w:after="120"/>
        <w:rPr>
          <w:rFonts w:ascii="Arial" w:hAnsi="Arial" w:cs="Arial"/>
          <w:b/>
          <w:bCs/>
          <w:color w:val="003594"/>
          <w:sz w:val="28"/>
          <w:szCs w:val="28"/>
        </w:rPr>
      </w:pPr>
      <w:r w:rsidRPr="3E437E34">
        <w:rPr>
          <w:rFonts w:ascii="Arial" w:hAnsi="Arial" w:cs="Arial"/>
          <w:b/>
          <w:bCs/>
          <w:color w:val="003594"/>
          <w:sz w:val="28"/>
          <w:szCs w:val="28"/>
        </w:rPr>
        <w:t>1</w:t>
      </w:r>
      <w:r w:rsidR="2C72979B" w:rsidRPr="3E437E34">
        <w:rPr>
          <w:rFonts w:ascii="Arial" w:hAnsi="Arial" w:cs="Arial"/>
          <w:b/>
          <w:bCs/>
          <w:color w:val="003594"/>
          <w:sz w:val="28"/>
          <w:szCs w:val="28"/>
        </w:rPr>
        <w:t>2</w:t>
      </w:r>
      <w:r w:rsidRPr="3E437E34">
        <w:rPr>
          <w:rFonts w:ascii="Arial" w:hAnsi="Arial" w:cs="Arial"/>
          <w:b/>
          <w:bCs/>
          <w:color w:val="003594"/>
          <w:sz w:val="28"/>
          <w:szCs w:val="28"/>
        </w:rPr>
        <w:t>. Disclosure</w:t>
      </w:r>
    </w:p>
    <w:p w14:paraId="713BC379" w14:textId="5DEFEEF4" w:rsidR="006E0ABB" w:rsidRPr="006E0ABB" w:rsidRDefault="006E0ABB" w:rsidP="006E0ABB">
      <w:pPr>
        <w:spacing w:before="60" w:after="60"/>
        <w:rPr>
          <w:rFonts w:ascii="Arial" w:hAnsi="Arial" w:cs="Arial"/>
          <w:color w:val="555555"/>
          <w:sz w:val="18"/>
        </w:rPr>
      </w:pPr>
      <w:r w:rsidRPr="006E0ABB">
        <w:rPr>
          <w:rFonts w:ascii="Arial" w:hAnsi="Arial" w:cs="Arial"/>
          <w:color w:val="555555"/>
          <w:sz w:val="18"/>
        </w:rPr>
        <w:t xml:space="preserve">The information presented is intended solely for general educational and informational purposes and provides an overview of </w:t>
      </w:r>
      <w:proofErr w:type="gramStart"/>
      <w:r w:rsidRPr="006E0ABB">
        <w:rPr>
          <w:rFonts w:ascii="Arial" w:hAnsi="Arial" w:cs="Arial"/>
          <w:color w:val="555555"/>
          <w:sz w:val="18"/>
        </w:rPr>
        <w:t>University</w:t>
      </w:r>
      <w:proofErr w:type="gramEnd"/>
      <w:r w:rsidRPr="006E0ABB">
        <w:rPr>
          <w:rFonts w:ascii="Arial" w:hAnsi="Arial" w:cs="Arial"/>
          <w:color w:val="555555"/>
          <w:sz w:val="18"/>
        </w:rPr>
        <w:t xml:space="preserve"> benefit plans and related policies. It does not replace or override any official plan documents, University policies, established procedures, or contracts with insurance carriers; in all instances those documents govern. Benefits may be modified as required by changes in applicable law, or modified or terminated as the University deems necessary, with modifications communicated in writing when appropriate. No one speaking on behalf of </w:t>
      </w:r>
      <w:proofErr w:type="gramStart"/>
      <w:r w:rsidRPr="006E0ABB">
        <w:rPr>
          <w:rFonts w:ascii="Arial" w:hAnsi="Arial" w:cs="Arial"/>
          <w:color w:val="555555"/>
          <w:sz w:val="18"/>
        </w:rPr>
        <w:t>the plans</w:t>
      </w:r>
      <w:proofErr w:type="gramEnd"/>
      <w:r w:rsidRPr="006E0ABB">
        <w:rPr>
          <w:rFonts w:ascii="Arial" w:hAnsi="Arial" w:cs="Arial"/>
          <w:color w:val="555555"/>
          <w:sz w:val="18"/>
        </w:rPr>
        <w:t xml:space="preserve"> has authority to modify plan terms.</w:t>
      </w:r>
    </w:p>
    <w:p w14:paraId="47FD9F52" w14:textId="14BB37A1" w:rsidR="006E0ABB" w:rsidRPr="006E0ABB" w:rsidRDefault="34E17FA7" w:rsidP="006E0ABB">
      <w:pPr>
        <w:spacing w:before="60" w:after="60"/>
        <w:rPr>
          <w:rFonts w:ascii="Arial" w:hAnsi="Arial" w:cs="Arial"/>
          <w:color w:val="555555"/>
          <w:sz w:val="18"/>
        </w:rPr>
      </w:pPr>
      <w:r w:rsidRPr="3E437E34">
        <w:rPr>
          <w:rFonts w:ascii="Arial" w:hAnsi="Arial" w:cs="Arial"/>
          <w:color w:val="555555"/>
          <w:sz w:val="18"/>
          <w:szCs w:val="18"/>
        </w:rPr>
        <w:t>Employees who are members of a collective bargaining unit should refer to their collective bargaining agreements for specific guidance, as those agreements may differ from or take precedence over this information. Additional materials are available from the carriers and the Office of Human Resources at hr.pitt.edu/benefits; contact 833-852-2210 or hr.pitt.edu/contact-</w:t>
      </w:r>
      <w:proofErr w:type="spellStart"/>
      <w:r w:rsidRPr="3E437E34">
        <w:rPr>
          <w:rFonts w:ascii="Arial" w:hAnsi="Arial" w:cs="Arial"/>
          <w:color w:val="555555"/>
          <w:sz w:val="18"/>
          <w:szCs w:val="18"/>
        </w:rPr>
        <w:t>ohr</w:t>
      </w:r>
      <w:proofErr w:type="spellEnd"/>
      <w:r w:rsidRPr="3E437E34">
        <w:rPr>
          <w:rFonts w:ascii="Arial" w:hAnsi="Arial" w:cs="Arial"/>
          <w:color w:val="555555"/>
          <w:sz w:val="18"/>
          <w:szCs w:val="18"/>
        </w:rPr>
        <w:t>.</w:t>
      </w:r>
    </w:p>
    <w:p w14:paraId="6DA74A86" w14:textId="65984916" w:rsidR="00D626BD" w:rsidRDefault="00D626BD" w:rsidP="006E0ABB">
      <w:pPr>
        <w:spacing w:after="0"/>
        <w:rPr>
          <w:sz w:val="2"/>
        </w:rPr>
      </w:pPr>
      <w:r>
        <w:rPr>
          <w:sz w:val="2"/>
        </w:rPr>
        <w:br w:type="page"/>
      </w:r>
    </w:p>
    <w:p w14:paraId="34E21D91" w14:textId="619506D0" w:rsidR="00D626BD" w:rsidRPr="00D626BD" w:rsidRDefault="00D626BD" w:rsidP="00D626BD">
      <w:pPr>
        <w:pStyle w:val="Title"/>
        <w:spacing w:after="120"/>
        <w:rPr>
          <w:rFonts w:ascii="Arial" w:hAnsi="Arial" w:cs="Arial"/>
          <w:b/>
          <w:color w:val="003594"/>
          <w:sz w:val="36"/>
        </w:rPr>
      </w:pPr>
      <w:r w:rsidRPr="00D626BD">
        <w:rPr>
          <w:rFonts w:ascii="Arial" w:hAnsi="Arial" w:cs="Arial"/>
          <w:b/>
          <w:color w:val="003594"/>
          <w:sz w:val="36"/>
        </w:rPr>
        <w:lastRenderedPageBreak/>
        <w:t>Retirement Readiness: Lifetime &amp; Legacy Planning</w:t>
      </w:r>
    </w:p>
    <w:p w14:paraId="224A50F1" w14:textId="180FFE2D" w:rsidR="00D626BD" w:rsidRPr="00E72255" w:rsidRDefault="00D626BD" w:rsidP="00D626BD">
      <w:pPr>
        <w:spacing w:after="60"/>
        <w:rPr>
          <w:rFonts w:ascii="Arial" w:hAnsi="Arial" w:cs="Arial"/>
          <w:sz w:val="18"/>
        </w:rPr>
      </w:pPr>
      <w:r w:rsidRPr="00E72255">
        <w:rPr>
          <w:rFonts w:ascii="Arial" w:hAnsi="Arial" w:cs="Arial"/>
          <w:sz w:val="18"/>
        </w:rPr>
        <w:t>Employee Reference Sheet — Session 6 Overview &amp; Resources</w:t>
      </w:r>
    </w:p>
    <w:p w14:paraId="0BA64DD7" w14:textId="079C18F5" w:rsidR="00D626BD" w:rsidRPr="00D626BD" w:rsidRDefault="488BB763" w:rsidP="3E437E34">
      <w:pPr>
        <w:spacing w:before="60" w:after="60"/>
        <w:rPr>
          <w:rFonts w:ascii="Arial" w:hAnsi="Arial" w:cs="Arial"/>
          <w:color w:val="333333"/>
          <w:sz w:val="20"/>
          <w:szCs w:val="20"/>
        </w:rPr>
      </w:pPr>
      <w:r w:rsidRPr="3E437E34">
        <w:rPr>
          <w:rFonts w:ascii="Arial" w:hAnsi="Arial" w:cs="Arial"/>
          <w:b/>
          <w:bCs/>
          <w:color w:val="333333"/>
          <w:sz w:val="20"/>
          <w:szCs w:val="20"/>
        </w:rPr>
        <w:t>Source:</w:t>
      </w:r>
      <w:r w:rsidRPr="3E437E34">
        <w:rPr>
          <w:rFonts w:ascii="Arial" w:hAnsi="Arial" w:cs="Arial"/>
          <w:color w:val="333333"/>
          <w:sz w:val="20"/>
          <w:szCs w:val="20"/>
        </w:rPr>
        <w:t xml:space="preserve"> University of Pittsburgh, Office of Human Resources, Benefits Department — Benefits Educational Series, “Retirement Readiness: Your Passport to the Next Chapter,” Session 6, “From Today to Tomorrow: Lifetime and Legacy Planning,” July 16, 2026 (Noon–1 p.m.).</w:t>
      </w:r>
    </w:p>
    <w:p w14:paraId="6F60AE03" w14:textId="6B008F11" w:rsidR="00D626BD" w:rsidRPr="00D626BD" w:rsidRDefault="488BB763" w:rsidP="3E437E34">
      <w:pPr>
        <w:spacing w:before="60" w:after="60"/>
        <w:rPr>
          <w:rFonts w:ascii="Arial" w:hAnsi="Arial" w:cs="Arial"/>
          <w:color w:val="333333"/>
          <w:sz w:val="20"/>
          <w:szCs w:val="20"/>
        </w:rPr>
      </w:pPr>
      <w:r w:rsidRPr="3E437E34">
        <w:rPr>
          <w:rFonts w:ascii="Arial" w:hAnsi="Arial" w:cs="Arial"/>
          <w:b/>
          <w:bCs/>
          <w:color w:val="333333"/>
          <w:sz w:val="20"/>
          <w:szCs w:val="20"/>
        </w:rPr>
        <w:t>Audience:</w:t>
      </w:r>
      <w:r w:rsidRPr="3E437E34">
        <w:rPr>
          <w:rFonts w:ascii="Arial" w:hAnsi="Arial" w:cs="Arial"/>
          <w:color w:val="333333"/>
          <w:sz w:val="20"/>
          <w:szCs w:val="20"/>
        </w:rPr>
        <w:t xml:space="preserve"> University of Pittsburgh employees at any career stage who want to start thinking about lifetime planning, gifting, and planning for what happens to their assets and loved ones after death.</w:t>
      </w:r>
    </w:p>
    <w:p w14:paraId="5808F1F9" w14:textId="7887F8DF" w:rsidR="00D626BD" w:rsidRPr="00D626BD" w:rsidRDefault="488BB763" w:rsidP="3E437E34">
      <w:pPr>
        <w:spacing w:before="60" w:after="60"/>
        <w:rPr>
          <w:rFonts w:ascii="Arial" w:hAnsi="Arial" w:cs="Arial"/>
          <w:color w:val="333333"/>
          <w:sz w:val="20"/>
          <w:szCs w:val="20"/>
        </w:rPr>
      </w:pPr>
      <w:r w:rsidRPr="3E437E34">
        <w:rPr>
          <w:rFonts w:ascii="Arial" w:hAnsi="Arial" w:cs="Arial"/>
          <w:b/>
          <w:bCs/>
          <w:color w:val="333333"/>
          <w:sz w:val="20"/>
          <w:szCs w:val="20"/>
        </w:rPr>
        <w:t>Main contact for questions:</w:t>
      </w:r>
      <w:r w:rsidRPr="3E437E34">
        <w:rPr>
          <w:rFonts w:ascii="Arial" w:hAnsi="Arial" w:cs="Arial"/>
          <w:color w:val="333333"/>
          <w:sz w:val="20"/>
          <w:szCs w:val="20"/>
        </w:rPr>
        <w:t xml:space="preserve"> OHR Benefits Department — 833-852-2210, Monday–Friday 8:30 a.m.–5:00 p.m., or the online form at hr.pitt.edu/contact-ohr (the fastest route for non-urgent questions). For personalized planning, schedule a free one-on-one with a TIAA financial consultant at TIAA.org/pitt or 800-682-9139.</w:t>
      </w:r>
    </w:p>
    <w:p w14:paraId="690FE4EF" w14:textId="0C0E9837" w:rsidR="00D626BD" w:rsidRPr="00D626BD" w:rsidRDefault="488BB763" w:rsidP="3E437E34">
      <w:pPr>
        <w:spacing w:before="60" w:after="60"/>
        <w:rPr>
          <w:rFonts w:ascii="Arial" w:hAnsi="Arial" w:cs="Arial"/>
          <w:color w:val="555555"/>
          <w:sz w:val="18"/>
          <w:szCs w:val="18"/>
        </w:rPr>
      </w:pPr>
      <w:r w:rsidRPr="3E437E34">
        <w:rPr>
          <w:rFonts w:ascii="Arial" w:hAnsi="Arial" w:cs="Arial"/>
          <w:b/>
          <w:bCs/>
          <w:color w:val="555555"/>
          <w:sz w:val="18"/>
          <w:szCs w:val="18"/>
        </w:rPr>
        <w:t>Session materials:</w:t>
      </w:r>
      <w:r w:rsidRPr="3E437E34">
        <w:rPr>
          <w:rFonts w:ascii="Arial" w:hAnsi="Arial" w:cs="Arial"/>
          <w:color w:val="555555"/>
          <w:sz w:val="18"/>
          <w:szCs w:val="18"/>
        </w:rPr>
        <w:t xml:space="preserve"> this session was not recorded. Per TIAA policy, sections led by TIAA are not recorded or made available for redistribution, and those slides are not shared. If you </w:t>
      </w:r>
      <w:proofErr w:type="gramStart"/>
      <w:r w:rsidRPr="3E437E34">
        <w:rPr>
          <w:rFonts w:ascii="Arial" w:hAnsi="Arial" w:cs="Arial"/>
          <w:color w:val="555555"/>
          <w:sz w:val="18"/>
          <w:szCs w:val="18"/>
        </w:rPr>
        <w:t>missed</w:t>
      </w:r>
      <w:proofErr w:type="gramEnd"/>
      <w:r w:rsidRPr="3E437E34">
        <w:rPr>
          <w:rFonts w:ascii="Arial" w:hAnsi="Arial" w:cs="Arial"/>
          <w:color w:val="555555"/>
          <w:sz w:val="18"/>
          <w:szCs w:val="18"/>
        </w:rPr>
        <w:t xml:space="preserve"> the session, visit tiaa.org/webinars or schedule a one-on-one with a TIAA financial consultant.</w:t>
      </w:r>
    </w:p>
    <w:p w14:paraId="33699C76" w14:textId="75A42A70" w:rsidR="00D626BD" w:rsidRPr="00D626BD" w:rsidRDefault="7F61BB74" w:rsidP="00D626BD">
      <w:pPr>
        <w:spacing w:before="60" w:after="60"/>
      </w:pPr>
      <w:r w:rsidRPr="7BBB6AE0">
        <w:rPr>
          <w:rFonts w:ascii="Arial" w:hAnsi="Arial" w:cs="Arial"/>
          <w:color w:val="555555"/>
          <w:sz w:val="18"/>
          <w:szCs w:val="18"/>
        </w:rPr>
        <w:t>This sheet summarizes the Pitt Benefits Department portion of the deck. The TIAA guest-speaker presentation (the core of this session) is not reproduced; official plan documents govern (see Disclosure).</w:t>
      </w:r>
    </w:p>
    <w:p w14:paraId="6A0C383D" w14:textId="7B5FB7D2" w:rsidR="7BBB6AE0" w:rsidRDefault="7BBB6AE0" w:rsidP="7BBB6AE0">
      <w:pPr>
        <w:rPr>
          <w:rFonts w:ascii="Arial" w:eastAsia="Arial" w:hAnsi="Arial" w:cs="Arial"/>
          <w:color w:val="333333"/>
          <w:sz w:val="20"/>
          <w:szCs w:val="20"/>
        </w:rPr>
      </w:pPr>
    </w:p>
    <w:p w14:paraId="4707E50B" w14:textId="14EA9F3B" w:rsidR="00D626BD" w:rsidRPr="00D626BD" w:rsidRDefault="00D626BD" w:rsidP="00D626BD">
      <w:pPr>
        <w:pStyle w:val="Heading1"/>
        <w:spacing w:before="240" w:after="120"/>
        <w:rPr>
          <w:rFonts w:ascii="Arial" w:hAnsi="Arial" w:cs="Arial"/>
          <w:b/>
          <w:color w:val="003594"/>
          <w:sz w:val="28"/>
        </w:rPr>
      </w:pPr>
      <w:r w:rsidRPr="00D626BD">
        <w:rPr>
          <w:rFonts w:ascii="Arial" w:hAnsi="Arial" w:cs="Arial"/>
          <w:b/>
          <w:color w:val="003594"/>
          <w:sz w:val="28"/>
        </w:rPr>
        <w:t xml:space="preserve">1. Session </w:t>
      </w:r>
      <w:proofErr w:type="gramStart"/>
      <w:r w:rsidRPr="00D626BD">
        <w:rPr>
          <w:rFonts w:ascii="Arial" w:hAnsi="Arial" w:cs="Arial"/>
          <w:b/>
          <w:color w:val="003594"/>
          <w:sz w:val="28"/>
        </w:rPr>
        <w:t>at a Glance</w:t>
      </w:r>
      <w:proofErr w:type="gramEnd"/>
    </w:p>
    <w:p w14:paraId="69AE2E97" w14:textId="5A3E4021" w:rsidR="00D626BD" w:rsidRPr="00D626BD" w:rsidRDefault="488BB763"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Welcome &amp; Session Overview</w:t>
      </w:r>
      <w:r w:rsidRPr="3E437E34">
        <w:rPr>
          <w:rFonts w:ascii="Arial" w:hAnsi="Arial" w:cs="Arial"/>
          <w:color w:val="333333"/>
          <w:sz w:val="20"/>
          <w:szCs w:val="20"/>
        </w:rPr>
        <w:t xml:space="preserve"> — Pitt Benefits Department.</w:t>
      </w:r>
    </w:p>
    <w:p w14:paraId="2613681C" w14:textId="518DC8D9" w:rsidR="00D626BD" w:rsidRPr="00D626BD" w:rsidRDefault="488BB763" w:rsidP="3E437E34">
      <w:pPr>
        <w:pStyle w:val="ListBullet"/>
        <w:spacing w:before="40" w:after="40"/>
        <w:rPr>
          <w:rFonts w:ascii="Arial" w:hAnsi="Arial" w:cs="Arial"/>
          <w:color w:val="333333"/>
          <w:sz w:val="20"/>
          <w:szCs w:val="20"/>
        </w:rPr>
      </w:pPr>
      <w:r w:rsidRPr="3E437E34">
        <w:rPr>
          <w:rFonts w:ascii="Arial" w:hAnsi="Arial" w:cs="Arial"/>
          <w:b/>
          <w:bCs/>
          <w:color w:val="333333"/>
          <w:sz w:val="20"/>
          <w:szCs w:val="20"/>
        </w:rPr>
        <w:t>TIAA Guest Speaker:</w:t>
      </w:r>
      <w:r w:rsidRPr="3E437E34">
        <w:rPr>
          <w:rFonts w:ascii="Arial" w:hAnsi="Arial" w:cs="Arial"/>
          <w:color w:val="333333"/>
          <w:sz w:val="20"/>
          <w:szCs w:val="20"/>
        </w:rPr>
        <w:t xml:space="preserve"> Common Estate Planning Considerations.</w:t>
      </w:r>
    </w:p>
    <w:p w14:paraId="21F79886" w14:textId="32A30973"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t>Q&amp;A.</w:t>
      </w:r>
    </w:p>
    <w:p w14:paraId="3EE07EB9" w14:textId="456A5586" w:rsidR="00D626BD" w:rsidRPr="00D626BD" w:rsidRDefault="79EEF18E" w:rsidP="3E437E34">
      <w:pPr>
        <w:pStyle w:val="ListBullet"/>
        <w:spacing w:before="40" w:after="40"/>
      </w:pPr>
      <w:r w:rsidRPr="7BBB6AE0">
        <w:rPr>
          <w:rFonts w:ascii="Arial" w:hAnsi="Arial" w:cs="Arial"/>
          <w:b/>
          <w:bCs/>
          <w:color w:val="333333"/>
          <w:sz w:val="20"/>
          <w:szCs w:val="20"/>
        </w:rPr>
        <w:t>Wrap Up</w:t>
      </w:r>
      <w:r w:rsidRPr="7BBB6AE0">
        <w:rPr>
          <w:rFonts w:ascii="Arial" w:hAnsi="Arial" w:cs="Arial"/>
          <w:color w:val="333333"/>
          <w:sz w:val="20"/>
          <w:szCs w:val="20"/>
        </w:rPr>
        <w:t xml:space="preserve"> — next sessions, resources, and feedback.</w:t>
      </w:r>
    </w:p>
    <w:p w14:paraId="4F71921E" w14:textId="6CDA76C4" w:rsidR="7BBB6AE0" w:rsidRDefault="7BBB6AE0" w:rsidP="7BBB6AE0">
      <w:pPr>
        <w:rPr>
          <w:rFonts w:ascii="Arial" w:eastAsia="Arial" w:hAnsi="Arial" w:cs="Arial"/>
          <w:color w:val="333333"/>
          <w:sz w:val="20"/>
          <w:szCs w:val="20"/>
        </w:rPr>
      </w:pPr>
    </w:p>
    <w:p w14:paraId="4718E26F" w14:textId="20B39F4F" w:rsidR="00D626BD" w:rsidRPr="00D626BD" w:rsidRDefault="00D626BD" w:rsidP="00D626BD">
      <w:pPr>
        <w:pStyle w:val="Heading1"/>
        <w:spacing w:before="240" w:after="120"/>
        <w:rPr>
          <w:rFonts w:ascii="Arial" w:hAnsi="Arial" w:cs="Arial"/>
          <w:b/>
          <w:color w:val="003594"/>
          <w:sz w:val="28"/>
        </w:rPr>
      </w:pPr>
      <w:r w:rsidRPr="00D626BD">
        <w:rPr>
          <w:rFonts w:ascii="Arial" w:hAnsi="Arial" w:cs="Arial"/>
          <w:b/>
          <w:color w:val="003594"/>
          <w:sz w:val="28"/>
        </w:rPr>
        <w:t>2. TIAA Guest Speaker — Common Estate Planning Considerations</w:t>
      </w:r>
    </w:p>
    <w:p w14:paraId="0196EC84" w14:textId="15FC3329" w:rsidR="00D626BD" w:rsidRPr="00D626BD" w:rsidRDefault="00D626BD" w:rsidP="00D626BD">
      <w:pPr>
        <w:spacing w:before="60" w:after="60"/>
        <w:rPr>
          <w:rFonts w:ascii="Arial" w:hAnsi="Arial" w:cs="Arial"/>
          <w:color w:val="333333"/>
          <w:sz w:val="20"/>
        </w:rPr>
      </w:pPr>
      <w:r w:rsidRPr="00D626BD">
        <w:rPr>
          <w:rFonts w:ascii="Arial" w:hAnsi="Arial" w:cs="Arial"/>
          <w:color w:val="333333"/>
          <w:sz w:val="20"/>
        </w:rPr>
        <w:t>Theresa “Teri” A. Malmstrom, Director of Wealth Planning Strategies at TIAA, led the main segment of the session.</w:t>
      </w:r>
    </w:p>
    <w:p w14:paraId="412CBFFA" w14:textId="6CCDA156"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t>Advises clients with complex, high-net-worth estate and wealth planning needs, drawing on a tax and estate planning background.</w:t>
      </w:r>
    </w:p>
    <w:p w14:paraId="26D2AF3C" w14:textId="7B996144" w:rsidR="00D626BD" w:rsidRPr="00D626BD" w:rsidRDefault="00D626BD" w:rsidP="00D626BD">
      <w:pPr>
        <w:pStyle w:val="ListBullet"/>
        <w:spacing w:before="40" w:after="40"/>
        <w:rPr>
          <w:rFonts w:ascii="Arial" w:hAnsi="Arial" w:cs="Arial"/>
          <w:color w:val="333333"/>
          <w:sz w:val="20"/>
        </w:rPr>
      </w:pPr>
      <w:proofErr w:type="gramStart"/>
      <w:r w:rsidRPr="00D626BD">
        <w:rPr>
          <w:rFonts w:ascii="Arial" w:hAnsi="Arial" w:cs="Arial"/>
          <w:color w:val="333333"/>
          <w:sz w:val="20"/>
        </w:rPr>
        <w:t>Helps</w:t>
      </w:r>
      <w:proofErr w:type="gramEnd"/>
      <w:r w:rsidRPr="00D626BD">
        <w:rPr>
          <w:rFonts w:ascii="Arial" w:hAnsi="Arial" w:cs="Arial"/>
          <w:color w:val="333333"/>
          <w:sz w:val="20"/>
        </w:rPr>
        <w:t xml:space="preserve"> families define and prioritize wealth transfer goals, then put strategies in place — such as wills, revocable and irrevocable trusts, gift and charitable trusts, and family limited partnerships — while managing tax and administrative costs.</w:t>
      </w:r>
    </w:p>
    <w:p w14:paraId="0B3EE99A" w14:textId="07945F50"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t>A former practicing estate attorney who emphasizes reviewing your plan regularly and coordinating with your outside advisors; especially focused on charitable gifting strategies.</w:t>
      </w:r>
    </w:p>
    <w:p w14:paraId="7BDB06CD" w14:textId="1CA0E63A"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t>Based in Pittsburgh; previously with PNC Private Bank and in private law practice. J.D., University of Pittsburgh School of Law; graduate of the University of Pennsylvania.</w:t>
      </w:r>
    </w:p>
    <w:p w14:paraId="00E6C83D" w14:textId="7C2780EC" w:rsidR="00D626BD" w:rsidRPr="00D626BD" w:rsidRDefault="7F61BB74" w:rsidP="00D626BD">
      <w:pPr>
        <w:spacing w:before="60" w:after="60"/>
      </w:pPr>
      <w:r w:rsidRPr="7BBB6AE0">
        <w:rPr>
          <w:rFonts w:ascii="Arial" w:hAnsi="Arial" w:cs="Arial"/>
          <w:color w:val="555555"/>
          <w:sz w:val="18"/>
          <w:szCs w:val="18"/>
        </w:rPr>
        <w:t>Per TIAA policy, the content of this presentation is not reproduced here. To talk through your own estate and legacy planning questions, schedule a one-on-one with a TIAA financial consultant at TIAA.org/pitt or 800-682-9139 (Mon–Fri 8 a.m.–10 p.m. ET; Sat 9 a.m.–6 p.m. ET).</w:t>
      </w:r>
    </w:p>
    <w:p w14:paraId="07DC8298" w14:textId="4173E6CF" w:rsidR="7BBB6AE0" w:rsidRDefault="7BBB6AE0" w:rsidP="7BBB6AE0">
      <w:pPr>
        <w:rPr>
          <w:rFonts w:ascii="Arial" w:eastAsia="Arial" w:hAnsi="Arial" w:cs="Arial"/>
          <w:color w:val="333333"/>
          <w:sz w:val="20"/>
          <w:szCs w:val="20"/>
        </w:rPr>
      </w:pPr>
    </w:p>
    <w:p w14:paraId="4E7A1D61" w14:textId="3DC5FD3D" w:rsidR="00D626BD" w:rsidRPr="00D626BD" w:rsidRDefault="00D626BD" w:rsidP="00D626BD">
      <w:pPr>
        <w:pStyle w:val="Heading1"/>
        <w:spacing w:before="240" w:after="120"/>
        <w:rPr>
          <w:rFonts w:ascii="Arial" w:hAnsi="Arial" w:cs="Arial"/>
          <w:b/>
          <w:color w:val="003594"/>
          <w:sz w:val="28"/>
        </w:rPr>
      </w:pPr>
      <w:r w:rsidRPr="00D626BD">
        <w:rPr>
          <w:rFonts w:ascii="Arial" w:hAnsi="Arial" w:cs="Arial"/>
          <w:b/>
          <w:color w:val="003594"/>
          <w:sz w:val="28"/>
        </w:rPr>
        <w:t>3. Key Reminders from the Benefits Team</w:t>
      </w:r>
    </w:p>
    <w:p w14:paraId="216E658B" w14:textId="233A3694"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t>Start early. The most consistent feedback from current retirees is that they wish they had started planning sooner — wherever you are in your timeline, give yourself the gift of time.</w:t>
      </w:r>
    </w:p>
    <w:p w14:paraId="1094E0E1" w14:textId="3A83D9FA"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lastRenderedPageBreak/>
        <w:t>Eligibility reviews are reserved for employees retiring within the next six months. If you are further out, use the online retirement calculator — it is self-service, available any time, and a good way to track your progress year over year.</w:t>
      </w:r>
    </w:p>
    <w:p w14:paraId="218F3285" w14:textId="0D91E3C6" w:rsidR="00D626BD" w:rsidRPr="00D626BD" w:rsidRDefault="00D626BD" w:rsidP="00D626BD">
      <w:pPr>
        <w:pStyle w:val="ListBullet"/>
        <w:spacing w:before="40" w:after="40"/>
        <w:rPr>
          <w:rFonts w:ascii="Arial" w:hAnsi="Arial" w:cs="Arial"/>
          <w:color w:val="333333"/>
          <w:sz w:val="20"/>
        </w:rPr>
      </w:pPr>
      <w:r w:rsidRPr="00D626BD">
        <w:rPr>
          <w:rFonts w:ascii="Arial" w:hAnsi="Arial" w:cs="Arial"/>
          <w:color w:val="333333"/>
          <w:sz w:val="20"/>
        </w:rPr>
        <w:t>Questions not answered live? Submit them through the Contact OHR form at hr.pitt.edu/contact-</w:t>
      </w:r>
      <w:proofErr w:type="spellStart"/>
      <w:r w:rsidRPr="00D626BD">
        <w:rPr>
          <w:rFonts w:ascii="Arial" w:hAnsi="Arial" w:cs="Arial"/>
          <w:color w:val="333333"/>
          <w:sz w:val="20"/>
        </w:rPr>
        <w:t>ohr</w:t>
      </w:r>
      <w:proofErr w:type="spellEnd"/>
      <w:r w:rsidRPr="00D626BD">
        <w:rPr>
          <w:rFonts w:ascii="Arial" w:hAnsi="Arial" w:cs="Arial"/>
          <w:color w:val="333333"/>
          <w:sz w:val="20"/>
        </w:rPr>
        <w:t xml:space="preserve"> and the Benefits team will follow up directly.</w:t>
      </w:r>
    </w:p>
    <w:p w14:paraId="1E38C74E" w14:textId="6F4E152C" w:rsidR="00AD01C2" w:rsidRPr="006E0ABB" w:rsidRDefault="00AD01C2" w:rsidP="006E0ABB">
      <w:pPr>
        <w:spacing w:after="0"/>
        <w:rPr>
          <w:sz w:val="2"/>
        </w:rPr>
      </w:pPr>
    </w:p>
    <w:sectPr w:rsidR="00AD01C2" w:rsidRPr="006E0ABB" w:rsidSect="006E0ABB">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85D0A" w14:textId="77777777" w:rsidR="0083668C" w:rsidRDefault="0083668C" w:rsidP="006E0ABB">
      <w:pPr>
        <w:spacing w:after="0" w:line="240" w:lineRule="auto"/>
      </w:pPr>
      <w:r>
        <w:separator/>
      </w:r>
    </w:p>
  </w:endnote>
  <w:endnote w:type="continuationSeparator" w:id="0">
    <w:p w14:paraId="5627962A" w14:textId="77777777" w:rsidR="0083668C" w:rsidRDefault="0083668C" w:rsidP="006E0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FE9EA" w14:textId="77777777" w:rsidR="006E0ABB" w:rsidRDefault="006E0A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8152" w14:textId="77777777" w:rsidR="006E0ABB" w:rsidRDefault="006E0A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076E" w14:textId="77777777" w:rsidR="006E0ABB" w:rsidRDefault="006E0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DFD8F" w14:textId="77777777" w:rsidR="0083668C" w:rsidRDefault="0083668C" w:rsidP="006E0ABB">
      <w:pPr>
        <w:spacing w:after="0" w:line="240" w:lineRule="auto"/>
      </w:pPr>
      <w:r>
        <w:separator/>
      </w:r>
    </w:p>
  </w:footnote>
  <w:footnote w:type="continuationSeparator" w:id="0">
    <w:p w14:paraId="516449F5" w14:textId="77777777" w:rsidR="0083668C" w:rsidRDefault="0083668C" w:rsidP="006E0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C84E" w14:textId="77777777" w:rsidR="006E0ABB" w:rsidRDefault="006E0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8B2C6" w14:textId="77777777" w:rsidR="006E0ABB" w:rsidRDefault="006E0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D929" w14:textId="77777777" w:rsidR="006E0ABB" w:rsidRDefault="006E0A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22C41E"/>
    <w:lvl w:ilvl="0">
      <w:start w:val="1"/>
      <w:numFmt w:val="bullet"/>
      <w:pStyle w:val="ListBullet"/>
      <w:lvlText w:val=""/>
      <w:lvlJc w:val="left"/>
      <w:pPr>
        <w:tabs>
          <w:tab w:val="num" w:pos="360"/>
        </w:tabs>
        <w:ind w:left="360" w:hanging="360"/>
      </w:pPr>
      <w:rPr>
        <w:rFonts w:ascii="Symbol" w:hAnsi="Symbol" w:hint="default"/>
      </w:rPr>
    </w:lvl>
  </w:abstractNum>
  <w:num w:numId="1" w16cid:durableId="2007857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BB"/>
    <w:rsid w:val="000B5423"/>
    <w:rsid w:val="001C50B3"/>
    <w:rsid w:val="00424F50"/>
    <w:rsid w:val="00444DA1"/>
    <w:rsid w:val="00483C4C"/>
    <w:rsid w:val="005F6316"/>
    <w:rsid w:val="006106A8"/>
    <w:rsid w:val="006E0ABB"/>
    <w:rsid w:val="0083668C"/>
    <w:rsid w:val="008F3791"/>
    <w:rsid w:val="00934FB2"/>
    <w:rsid w:val="00AB21B6"/>
    <w:rsid w:val="00AD01C2"/>
    <w:rsid w:val="00BF02A8"/>
    <w:rsid w:val="00CA1043"/>
    <w:rsid w:val="00D626BD"/>
    <w:rsid w:val="00E72255"/>
    <w:rsid w:val="00FE5EC8"/>
    <w:rsid w:val="13892A7C"/>
    <w:rsid w:val="17B26621"/>
    <w:rsid w:val="225B6FCC"/>
    <w:rsid w:val="2C0C93DD"/>
    <w:rsid w:val="2C72979B"/>
    <w:rsid w:val="324494C5"/>
    <w:rsid w:val="34E17FA7"/>
    <w:rsid w:val="3809532F"/>
    <w:rsid w:val="3E437E34"/>
    <w:rsid w:val="417BC10C"/>
    <w:rsid w:val="488BB763"/>
    <w:rsid w:val="4C89F6BA"/>
    <w:rsid w:val="589F2FE8"/>
    <w:rsid w:val="5CF7B324"/>
    <w:rsid w:val="636A12BF"/>
    <w:rsid w:val="6BDE0832"/>
    <w:rsid w:val="77E5E9B2"/>
    <w:rsid w:val="79EEF18E"/>
    <w:rsid w:val="7BBB6AE0"/>
    <w:rsid w:val="7F61BB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BDC12"/>
  <w15:chartTrackingRefBased/>
  <w15:docId w15:val="{728BF6B3-51E3-48D9-9A45-4F87D2F1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0A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A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A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0A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A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A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ABB"/>
    <w:rPr>
      <w:rFonts w:eastAsiaTheme="majorEastAsia" w:cstheme="majorBidi"/>
      <w:color w:val="272727" w:themeColor="text1" w:themeTint="D8"/>
    </w:rPr>
  </w:style>
  <w:style w:type="paragraph" w:styleId="Title">
    <w:name w:val="Title"/>
    <w:basedOn w:val="Normal"/>
    <w:next w:val="Normal"/>
    <w:link w:val="TitleChar"/>
    <w:uiPriority w:val="10"/>
    <w:qFormat/>
    <w:rsid w:val="006E0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ABB"/>
    <w:pPr>
      <w:spacing w:before="160"/>
      <w:jc w:val="center"/>
    </w:pPr>
    <w:rPr>
      <w:i/>
      <w:iCs/>
      <w:color w:val="404040" w:themeColor="text1" w:themeTint="BF"/>
    </w:rPr>
  </w:style>
  <w:style w:type="character" w:customStyle="1" w:styleId="QuoteChar">
    <w:name w:val="Quote Char"/>
    <w:basedOn w:val="DefaultParagraphFont"/>
    <w:link w:val="Quote"/>
    <w:uiPriority w:val="29"/>
    <w:rsid w:val="006E0ABB"/>
    <w:rPr>
      <w:i/>
      <w:iCs/>
      <w:color w:val="404040" w:themeColor="text1" w:themeTint="BF"/>
    </w:rPr>
  </w:style>
  <w:style w:type="paragraph" w:styleId="ListParagraph">
    <w:name w:val="List Paragraph"/>
    <w:basedOn w:val="Normal"/>
    <w:uiPriority w:val="34"/>
    <w:qFormat/>
    <w:rsid w:val="006E0ABB"/>
    <w:pPr>
      <w:ind w:left="720"/>
      <w:contextualSpacing/>
    </w:pPr>
  </w:style>
  <w:style w:type="character" w:styleId="IntenseEmphasis">
    <w:name w:val="Intense Emphasis"/>
    <w:basedOn w:val="DefaultParagraphFont"/>
    <w:uiPriority w:val="21"/>
    <w:qFormat/>
    <w:rsid w:val="006E0ABB"/>
    <w:rPr>
      <w:i/>
      <w:iCs/>
      <w:color w:val="0F4761" w:themeColor="accent1" w:themeShade="BF"/>
    </w:rPr>
  </w:style>
  <w:style w:type="paragraph" w:styleId="IntenseQuote">
    <w:name w:val="Intense Quote"/>
    <w:basedOn w:val="Normal"/>
    <w:next w:val="Normal"/>
    <w:link w:val="IntenseQuoteChar"/>
    <w:uiPriority w:val="30"/>
    <w:qFormat/>
    <w:rsid w:val="006E0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ABB"/>
    <w:rPr>
      <w:i/>
      <w:iCs/>
      <w:color w:val="0F4761" w:themeColor="accent1" w:themeShade="BF"/>
    </w:rPr>
  </w:style>
  <w:style w:type="character" w:styleId="IntenseReference">
    <w:name w:val="Intense Reference"/>
    <w:basedOn w:val="DefaultParagraphFont"/>
    <w:uiPriority w:val="32"/>
    <w:qFormat/>
    <w:rsid w:val="006E0ABB"/>
    <w:rPr>
      <w:b/>
      <w:bCs/>
      <w:smallCaps/>
      <w:color w:val="0F4761" w:themeColor="accent1" w:themeShade="BF"/>
      <w:spacing w:val="5"/>
    </w:rPr>
  </w:style>
  <w:style w:type="paragraph" w:styleId="Header">
    <w:name w:val="header"/>
    <w:basedOn w:val="Normal"/>
    <w:link w:val="HeaderChar"/>
    <w:uiPriority w:val="99"/>
    <w:unhideWhenUsed/>
    <w:rsid w:val="006E0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ABB"/>
  </w:style>
  <w:style w:type="paragraph" w:styleId="Footer">
    <w:name w:val="footer"/>
    <w:basedOn w:val="Normal"/>
    <w:link w:val="FooterChar"/>
    <w:uiPriority w:val="99"/>
    <w:unhideWhenUsed/>
    <w:rsid w:val="006E0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ABB"/>
  </w:style>
  <w:style w:type="table" w:styleId="TableGrid">
    <w:name w:val="Table Grid"/>
    <w:basedOn w:val="TableNormal"/>
    <w:uiPriority w:val="39"/>
    <w:rsid w:val="006E0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6E0ABB"/>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913506A-06D5-4FEB-8A6A-698F2EEC1448}">
  <we:reference id="WA200010725" version="1.0.0.1" store="Omex" storeType="OMEX"/>
  <we:alternateReferences>
    <we:reference id="WA200010725" version="1.0.0.1" store="WA200010725" storeType="OMEX"/>
  </we:alternateReferences>
  <we:properties>
    <we:property name="claude.fileId" value="&quot;9fba30c1-06d5-480c-9dc4-15a7ef3e358c&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5d90f0c-1470-4a8f-8fb3-511c49d80e2c">
  <we:reference id="WA200010725" version="1.0.0.1" store="en-us" storeType="omex"/>
  <we:alternateReferences>
    <we:reference id="WA200010725" version="1.0.0.1" store="en-us" storeType="omex"/>
  </we:alternateReferences>
  <we:properties>
    <we:property name="claude.fileId" value="&quot;9fba30c1-06d5-480c-9dc4-15a7ef3e358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6FD79E-5959-4735-B4D4-AE3236486EF9}">
  <ds:schemaRefs>
    <ds:schemaRef ds:uri="http://schemas.microsoft.com/sharepoint/v3/contenttype/forms"/>
  </ds:schemaRefs>
</ds:datastoreItem>
</file>

<file path=customXml/itemProps2.xml><?xml version="1.0" encoding="utf-8"?>
<ds:datastoreItem xmlns:ds="http://schemas.openxmlformats.org/officeDocument/2006/customXml" ds:itemID="{B4597082-106B-4E58-B5E4-4AD29C645DC3}">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3.xml><?xml version="1.0" encoding="utf-8"?>
<ds:datastoreItem xmlns:ds="http://schemas.openxmlformats.org/officeDocument/2006/customXml" ds:itemID="{506F8E6E-168F-48D3-AD05-CA9138AB8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2203</Words>
  <Characters>12563</Characters>
  <Application>Microsoft Office Word</Application>
  <DocSecurity>0</DocSecurity>
  <Lines>104</Lines>
  <Paragraphs>29</Paragraphs>
  <ScaleCrop>false</ScaleCrop>
  <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Session5_Retirement Readiness_Summary</dc:title>
  <dc:subject>Retirement Readiness</dc:subject>
  <dc:creator>University of Pittsburgh Office of Human Resources</dc:creator>
  <cp:keywords/>
  <dc:description/>
  <cp:lastModifiedBy>Zurowski, Laura P</cp:lastModifiedBy>
  <cp:revision>2</cp:revision>
  <cp:lastPrinted>2026-09-30T14:38:00Z</cp:lastPrinted>
  <dcterms:created xsi:type="dcterms:W3CDTF">2026-10-08T20:17:00Z</dcterms:created>
  <dcterms:modified xsi:type="dcterms:W3CDTF">2026-10-08T20:17:00Z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