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57B69" w14:textId="1E6CC404" w:rsidR="00DB3EE8" w:rsidRPr="0016752A" w:rsidRDefault="7D9FF3D8" w:rsidP="0EC32285">
      <w:pPr>
        <w:spacing w:before="60" w:after="60" w:line="260" w:lineRule="atLeast"/>
      </w:pPr>
      <w:r w:rsidRPr="005669B7">
        <w:rPr>
          <w:rFonts w:ascii="Arial" w:eastAsia="Arial" w:hAnsi="Arial" w:cs="Arial"/>
          <w:sz w:val="20"/>
          <w:szCs w:val="20"/>
        </w:rPr>
        <w:t>Retirement Readiness Series</w:t>
      </w:r>
    </w:p>
    <w:p w14:paraId="08A21E99" w14:textId="512F3820" w:rsidR="00DB3EE8" w:rsidRPr="0016752A" w:rsidRDefault="00DB3EE8" w:rsidP="0EC32285">
      <w:pPr>
        <w:pStyle w:val="Title"/>
        <w:rPr>
          <w:rFonts w:ascii="Arial" w:hAnsi="Arial" w:cs="Arial"/>
          <w:b/>
          <w:bCs/>
          <w:color w:val="003594"/>
          <w:sz w:val="36"/>
          <w:szCs w:val="36"/>
        </w:rPr>
      </w:pPr>
    </w:p>
    <w:p w14:paraId="0B5AF1E9" w14:textId="4BC632EE" w:rsidR="00DB3EE8" w:rsidRPr="0016752A" w:rsidRDefault="458FFBB4" w:rsidP="0EC32285">
      <w:pPr>
        <w:pStyle w:val="Title"/>
        <w:rPr>
          <w:rFonts w:ascii="Arial" w:hAnsi="Arial" w:cs="Arial"/>
          <w:b/>
          <w:bCs/>
          <w:color w:val="003594"/>
          <w:sz w:val="36"/>
          <w:szCs w:val="36"/>
        </w:rPr>
      </w:pPr>
      <w:r w:rsidRPr="522ACB12">
        <w:rPr>
          <w:rFonts w:ascii="Arial" w:hAnsi="Arial" w:cs="Arial"/>
          <w:b/>
          <w:bCs/>
          <w:color w:val="003594"/>
          <w:sz w:val="36"/>
          <w:szCs w:val="36"/>
        </w:rPr>
        <w:t>Retirement Readiness at Age 65 or Older</w:t>
      </w:r>
    </w:p>
    <w:p w14:paraId="62056A86" w14:textId="2BB50CB0" w:rsidR="00002385" w:rsidRPr="0016752A" w:rsidRDefault="00002385" w:rsidP="748EADAC">
      <w:pPr>
        <w:pStyle w:val="Heading1"/>
        <w:pBdr>
          <w:bottom w:val="single" w:sz="4" w:space="1" w:color="FFB81C"/>
        </w:pBdr>
        <w:spacing w:after="120" w:line="320" w:lineRule="auto"/>
        <w:rPr>
          <w:rFonts w:ascii="Arial" w:hAnsi="Arial" w:cs="Arial"/>
          <w:b/>
          <w:bCs/>
          <w:color w:val="003594"/>
          <w:sz w:val="28"/>
          <w:szCs w:val="28"/>
        </w:rPr>
      </w:pPr>
      <w:r w:rsidRPr="748EADAC">
        <w:rPr>
          <w:rFonts w:ascii="Arial" w:hAnsi="Arial" w:cs="Arial"/>
          <w:b/>
          <w:bCs/>
          <w:color w:val="003594"/>
          <w:sz w:val="28"/>
          <w:szCs w:val="28"/>
        </w:rPr>
        <w:t>1. What Changes When You Retire</w:t>
      </w:r>
    </w:p>
    <w:p w14:paraId="1EB317CE" w14:textId="04D491F1" w:rsidR="0039200B" w:rsidRPr="0016752A" w:rsidRDefault="00002385"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Ends entirely</w:t>
      </w:r>
    </w:p>
    <w:p w14:paraId="5A86A181" w14:textId="79EEC93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Time off accruals.</w:t>
      </w:r>
    </w:p>
    <w:p w14:paraId="7A924CF8" w14:textId="599FBEE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Short- and long-term disability — coverage ends at retirement (exceptions may apply if you are disabled at retirement).</w:t>
      </w:r>
    </w:p>
    <w:p w14:paraId="7326675E" w14:textId="2358770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Retirement plan contributions — employee and University contributions stop; your TIAA/Vanguard balance stays.</w:t>
      </w:r>
    </w:p>
    <w:p w14:paraId="4005597F" w14:textId="2847404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PittPerks and staff discounts.</w:t>
      </w:r>
    </w:p>
    <w:p w14:paraId="59F6939B" w14:textId="638977A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Basic AD&amp;D — University-provided coverage discontinues at retirement.</w:t>
      </w:r>
    </w:p>
    <w:p w14:paraId="5D1DDAD9" w14:textId="5D6199D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University email ends at retirement. To ask about keeping access, request it in writing in your resignation letter — it is not guaranteed and is at department discretion.</w:t>
      </w:r>
    </w:p>
    <w:p w14:paraId="09209696" w14:textId="423DA7B2"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You may keep these</w:t>
      </w:r>
    </w:p>
    <w:p w14:paraId="789116D2" w14:textId="71257BE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Optional life insurance — portable at group rates with no medical underwriting.</w:t>
      </w:r>
    </w:p>
    <w:p w14:paraId="368C43E1" w14:textId="3E14D46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Optional AD&amp;D — convertible to an individual policy at customary individual rates.</w:t>
      </w:r>
    </w:p>
    <w:p w14:paraId="0E63287E" w14:textId="0D151FF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Retirement balances — you may leave TIAA/Vanguard assets in your accounts.</w:t>
      </w:r>
    </w:p>
    <w:p w14:paraId="46A7A830" w14:textId="28EC153A"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Watch the deadline</w:t>
      </w:r>
    </w:p>
    <w:p w14:paraId="398ADBC7" w14:textId="1F1E394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Active health coverage ends the last day of the month in which you last work.</w:t>
      </w:r>
    </w:p>
    <w:p w14:paraId="19B6BD4E" w14:textId="12891E3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Flexible Spending Account — file outstanding claims within 180 days of your active employee coverage ending; expenses must be incurred by your last day of work.</w:t>
      </w:r>
    </w:p>
    <w:p w14:paraId="20E522D3" w14:textId="1175AAB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Medical enrollment is a two-step process: (1) complete the </w:t>
      </w:r>
      <w:proofErr w:type="gramStart"/>
      <w:r w:rsidRPr="0016752A">
        <w:rPr>
          <w:rFonts w:ascii="Arial" w:hAnsi="Arial" w:cs="Arial"/>
          <w:color w:val="333333"/>
          <w:sz w:val="20"/>
        </w:rPr>
        <w:t>Post-65</w:t>
      </w:r>
      <w:proofErr w:type="gramEnd"/>
      <w:r w:rsidRPr="0016752A">
        <w:rPr>
          <w:rFonts w:ascii="Arial" w:hAnsi="Arial" w:cs="Arial"/>
          <w:color w:val="333333"/>
          <w:sz w:val="20"/>
        </w:rPr>
        <w:t xml:space="preserve"> retiree enrollment packet, then (2) complete the separate carrier packet for the plan you choose.</w:t>
      </w:r>
    </w:p>
    <w:p w14:paraId="20AB3CAA" w14:textId="66D81676" w:rsidR="0039200B" w:rsidRPr="0016752A" w:rsidRDefault="0039200B" w:rsidP="5E0A835E">
      <w:pPr>
        <w:pStyle w:val="ListBullet"/>
        <w:spacing w:before="40" w:after="40" w:line="250" w:lineRule="auto"/>
        <w:rPr>
          <w:rFonts w:ascii="Arial" w:hAnsi="Arial" w:cs="Arial"/>
          <w:color w:val="333333"/>
          <w:sz w:val="20"/>
          <w:szCs w:val="20"/>
        </w:rPr>
      </w:pPr>
      <w:r w:rsidRPr="5316ED31">
        <w:rPr>
          <w:rFonts w:ascii="Arial" w:hAnsi="Arial" w:cs="Arial"/>
          <w:color w:val="333333"/>
          <w:sz w:val="20"/>
          <w:szCs w:val="20"/>
        </w:rPr>
        <w:t>HSA — no contributions once you are enrolled in Medicare; keep spending the balance until it is depleted.</w:t>
      </w:r>
    </w:p>
    <w:p w14:paraId="24896B27" w14:textId="57C4559F" w:rsidR="00F15484" w:rsidRPr="0016752A" w:rsidRDefault="00F15484" w:rsidP="5316ED31">
      <w:pPr>
        <w:pStyle w:val="Heading1"/>
        <w:pBdr>
          <w:bottom w:val="single" w:sz="4" w:space="1" w:color="FFB81C"/>
        </w:pBdr>
        <w:spacing w:after="120" w:line="320" w:lineRule="auto"/>
        <w:rPr>
          <w:rFonts w:ascii="Arial" w:hAnsi="Arial" w:cs="Arial"/>
          <w:b/>
          <w:bCs/>
          <w:color w:val="003594"/>
          <w:sz w:val="28"/>
          <w:szCs w:val="28"/>
        </w:rPr>
      </w:pPr>
      <w:r w:rsidRPr="5316ED31">
        <w:rPr>
          <w:rFonts w:ascii="Arial" w:hAnsi="Arial" w:cs="Arial"/>
          <w:b/>
          <w:bCs/>
          <w:color w:val="003594"/>
          <w:sz w:val="28"/>
          <w:szCs w:val="28"/>
        </w:rPr>
        <w:t>2. Post-65 Coverage Basics &amp; the Plan-Year Shift</w:t>
      </w:r>
    </w:p>
    <w:p w14:paraId="029FB6F5" w14:textId="46E08325" w:rsidR="0039200B" w:rsidRPr="0016752A" w:rsidRDefault="742464EA" w:rsidP="0E954F79">
      <w:pPr>
        <w:pStyle w:val="ListBullet"/>
        <w:spacing w:before="40" w:after="40" w:line="250" w:lineRule="auto"/>
        <w:rPr>
          <w:rFonts w:ascii="Arial" w:hAnsi="Arial" w:cs="Arial"/>
          <w:color w:val="333333"/>
          <w:sz w:val="20"/>
          <w:szCs w:val="20"/>
        </w:rPr>
      </w:pPr>
      <w:r w:rsidRPr="0EC32285">
        <w:rPr>
          <w:rFonts w:ascii="Arial" w:hAnsi="Arial" w:cs="Arial"/>
          <w:color w:val="333333"/>
          <w:sz w:val="20"/>
          <w:szCs w:val="20"/>
        </w:rPr>
        <w:t>Medicare enrollment is mandatory. Once retired and over age 65, Medicare enrollment is required. Pitt’s plans either complement Medicare (Supplement) or replace traditional Medicare (Medicare Advantage).</w:t>
      </w:r>
    </w:p>
    <w:p w14:paraId="4221935D" w14:textId="1D1F363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Six plan options: 3 UPMC Medicare Advantage plans (HMO and two PPOs), 1 Highmark Freedom Blue PPO Advantage, and 2 Medicare Supplement plans (UPMC National Complementary and Highmark Signature 65). Plans vary by network and residency.</w:t>
      </w:r>
    </w:p>
    <w:p w14:paraId="7038E04C" w14:textId="487A7A1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DDB credits: the University provides $401 per month in Defined Dollar Benefit credits toward your post-65 retiree medical premium. Most plans cost $258–$440/month in 2026. Credits are allotted per person, so you and your eligible spouse/domestic partner (as of your retirement) each receive credits.</w:t>
      </w:r>
    </w:p>
    <w:p w14:paraId="1BDB7D59" w14:textId="4E6483F7"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All six post-65 plans include creditable prescription drug coverage — do NOT buy a separate Medicare Part D plan.</w:t>
      </w:r>
    </w:p>
    <w:p w14:paraId="63E33D5C" w14:textId="1FB5F015"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Plan year: the key difference</w:t>
      </w:r>
    </w:p>
    <w:p w14:paraId="118DE86F" w14:textId="0C1A9B1B"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Active employee coverage: July 1 – June 30; open enrollment each spring.</w:t>
      </w:r>
    </w:p>
    <w:p w14:paraId="3846E7C5" w14:textId="1336316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Pre-65 retiree coverage: July 1 – June 30 (same as active employees).</w:t>
      </w:r>
    </w:p>
    <w:p w14:paraId="2C1D990D" w14:textId="5ADDD3B3" w:rsidR="0039200B" w:rsidRPr="0016752A" w:rsidRDefault="0039200B" w:rsidP="2D8E8D4E">
      <w:pPr>
        <w:pStyle w:val="ListBullet"/>
        <w:spacing w:before="40" w:after="40" w:line="250" w:lineRule="auto"/>
        <w:rPr>
          <w:rFonts w:ascii="Arial" w:hAnsi="Arial" w:cs="Arial"/>
          <w:color w:val="333333"/>
          <w:sz w:val="20"/>
          <w:szCs w:val="20"/>
        </w:rPr>
      </w:pPr>
      <w:r w:rsidRPr="7E5DA1DC">
        <w:rPr>
          <w:rFonts w:ascii="Arial" w:hAnsi="Arial" w:cs="Arial"/>
          <w:color w:val="333333"/>
          <w:sz w:val="20"/>
          <w:szCs w:val="20"/>
        </w:rPr>
        <w:t>Post-65 retiree coverage: January 1 – December 31; open enrollment each fall, typically November/December, for changes effective January 1.</w:t>
      </w:r>
    </w:p>
    <w:p w14:paraId="0C3339A5" w14:textId="05746FCB" w:rsidR="00DD4187" w:rsidRPr="0016752A" w:rsidRDefault="00DD4187" w:rsidP="7E5DA1DC">
      <w:pPr>
        <w:pStyle w:val="Heading1"/>
        <w:pBdr>
          <w:bottom w:val="single" w:sz="4" w:space="1" w:color="FFB81C"/>
        </w:pBdr>
        <w:spacing w:after="120" w:line="320" w:lineRule="auto"/>
        <w:rPr>
          <w:rFonts w:ascii="Arial" w:hAnsi="Arial" w:cs="Arial"/>
          <w:b/>
          <w:bCs/>
          <w:color w:val="003594"/>
          <w:sz w:val="28"/>
          <w:szCs w:val="28"/>
        </w:rPr>
      </w:pPr>
      <w:r w:rsidRPr="7E5DA1DC">
        <w:rPr>
          <w:rFonts w:ascii="Arial" w:hAnsi="Arial" w:cs="Arial"/>
          <w:b/>
          <w:bCs/>
          <w:color w:val="003594"/>
          <w:sz w:val="28"/>
          <w:szCs w:val="28"/>
        </w:rPr>
        <w:lastRenderedPageBreak/>
        <w:t>3. Enrolling in Post-65 Coverage: Steps &amp; Timelines</w:t>
      </w:r>
    </w:p>
    <w:p w14:paraId="7EEB7F5A" w14:textId="2437209F" w:rsidR="0039200B" w:rsidRPr="0016752A" w:rsidRDefault="00DD4187"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Step 1 — Apply for Part A at 65 while working. Apply online; Part A is at no cost to you.</w:t>
      </w:r>
    </w:p>
    <w:p w14:paraId="6C6F3469" w14:textId="013AA29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Step 2 — Delay Part B while working. Part B is not required while you are actively working and covered by an employer health plan, so you may delay it without a late penalty.</w:t>
      </w:r>
    </w:p>
    <w:p w14:paraId="60E87058" w14:textId="13325FD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Step 3 — If you deferred Part B: ideally 3 months before your retirement date, the Benefits Department provides an Employer Verification Form once your retirement date is updated in Pitt Worx. Mail, fax, or upload it with your Part B application to your local Social Security office.</w:t>
      </w:r>
    </w:p>
    <w:p w14:paraId="5482B780" w14:textId="35C6870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Step 4 — If already enrolled in Parts A and B: no employer form is needed; confirm Part B is active and proceed. For help, see SSA.gov or Medicare.gov, or contact the PA MEDI counseling program.</w:t>
      </w:r>
    </w:p>
    <w:p w14:paraId="6A0C2BD3" w14:textId="6966C2CE"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Step 5 — Department updates your record. Once your department updates your retirement date (last day worked), you receive a post-65 retiree enrollment packet if you meet the age and service criteria to officially retire. If you do not meet the criteria, you must enroll in Medicare and may then elect COBRA (which would be secondary), forgo COBRA in favor of Medicare alone, or seek coverage elsewhere.</w:t>
      </w:r>
    </w:p>
    <w:p w14:paraId="5618534F" w14:textId="7E40E5C5"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 xml:space="preserve">Turning 65 as a </w:t>
      </w:r>
      <w:proofErr w:type="gramStart"/>
      <w:r w:rsidRPr="0EC32285">
        <w:rPr>
          <w:rFonts w:ascii="Arial" w:eastAsia="Arial" w:hAnsi="Arial" w:cs="Arial"/>
          <w:b/>
          <w:bCs/>
          <w:color w:val="003594"/>
          <w:sz w:val="24"/>
          <w:szCs w:val="24"/>
        </w:rPr>
        <w:t>Pre-65</w:t>
      </w:r>
      <w:proofErr w:type="gramEnd"/>
      <w:r w:rsidRPr="0EC32285">
        <w:rPr>
          <w:rFonts w:ascii="Arial" w:eastAsia="Arial" w:hAnsi="Arial" w:cs="Arial"/>
          <w:b/>
          <w:bCs/>
          <w:color w:val="003594"/>
          <w:sz w:val="24"/>
          <w:szCs w:val="24"/>
        </w:rPr>
        <w:t xml:space="preserve"> retiree</w:t>
      </w:r>
    </w:p>
    <w:p w14:paraId="30174174" w14:textId="0736C7D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Pre-65 (under 65): the Pitt plan is primary; plan year July–June; cost share applies at ages 62–64; DDB credits do not accrue while you are enrolled in the University Pre-65 plan.</w:t>
      </w:r>
    </w:p>
    <w:p w14:paraId="235E7FFD" w14:textId="4C67C91E"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At 65: contact Social Security at 1-800-772-1213 up to 3 months before your 65th birthday to enroll in Parts A and B. BMS automatically mails a post-65 enrollment packet before your 65th birthday; you need your Medicare information to complete it. A separate carrier application is then mailed to you to complete and return to the carrier.</w:t>
      </w:r>
    </w:p>
    <w:p w14:paraId="15570522" w14:textId="779E1B23" w:rsidR="0039200B" w:rsidRPr="0016752A" w:rsidRDefault="0039200B" w:rsidP="1D3CBEB9">
      <w:pPr>
        <w:pStyle w:val="ListBullet"/>
        <w:spacing w:before="40" w:after="40" w:line="250" w:lineRule="auto"/>
        <w:rPr>
          <w:rFonts w:ascii="Arial" w:hAnsi="Arial" w:cs="Arial"/>
          <w:color w:val="333333"/>
          <w:sz w:val="20"/>
          <w:szCs w:val="20"/>
        </w:rPr>
      </w:pPr>
      <w:r w:rsidRPr="4A60CAD3">
        <w:rPr>
          <w:rFonts w:ascii="Arial" w:hAnsi="Arial" w:cs="Arial"/>
          <w:color w:val="333333"/>
          <w:sz w:val="20"/>
          <w:szCs w:val="20"/>
        </w:rPr>
        <w:t>Post-65 (65+): Parts A and B are required to enroll; the plan year shifts to January–December; the $401/month DDB credit activates. You may choose one of the 6 Pitt plans, enroll in an external non-Pitt retiree plan and seek reimbursement, or waive medical coverage and accrue DDB credits for later use.</w:t>
      </w:r>
    </w:p>
    <w:p w14:paraId="225A9F33" w14:textId="3EEACBA6" w:rsidR="005B3F17" w:rsidRPr="0016752A" w:rsidRDefault="005B3F17" w:rsidP="4A60CAD3">
      <w:pPr>
        <w:pStyle w:val="Heading1"/>
        <w:pBdr>
          <w:bottom w:val="single" w:sz="4" w:space="1" w:color="FFB81C"/>
        </w:pBdr>
        <w:spacing w:after="120" w:line="320" w:lineRule="auto"/>
        <w:rPr>
          <w:rFonts w:ascii="Arial" w:hAnsi="Arial" w:cs="Arial"/>
          <w:b/>
          <w:bCs/>
          <w:color w:val="003594"/>
          <w:sz w:val="28"/>
          <w:szCs w:val="28"/>
        </w:rPr>
      </w:pPr>
      <w:r w:rsidRPr="4A60CAD3">
        <w:rPr>
          <w:rFonts w:ascii="Arial" w:hAnsi="Arial" w:cs="Arial"/>
          <w:b/>
          <w:bCs/>
          <w:color w:val="003594"/>
          <w:sz w:val="28"/>
          <w:szCs w:val="28"/>
        </w:rPr>
        <w:t>4. Medicare Essentials, Premiums &amp; IRMAA</w:t>
      </w:r>
    </w:p>
    <w:p w14:paraId="21C8057D" w14:textId="099A36A8" w:rsidR="0039200B" w:rsidRPr="0016752A" w:rsidRDefault="005B3F17" w:rsidP="0016752A">
      <w:pPr>
        <w:spacing w:before="60" w:after="60" w:line="250" w:lineRule="auto"/>
        <w:rPr>
          <w:rFonts w:ascii="Arial" w:hAnsi="Arial" w:cs="Arial"/>
          <w:color w:val="333333"/>
          <w:sz w:val="20"/>
        </w:rPr>
      </w:pPr>
      <w:r w:rsidRPr="0016752A">
        <w:rPr>
          <w:rFonts w:ascii="Arial" w:hAnsi="Arial" w:cs="Arial"/>
          <w:color w:val="333333"/>
          <w:sz w:val="20"/>
        </w:rPr>
        <w:t>Medicare is the federal health insurance program for people age 65+ and certain people with disabilities. All Pitt post-65 plans are built on or around Medicare.</w:t>
      </w:r>
    </w:p>
    <w:p w14:paraId="78322449" w14:textId="36A70B04"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Part A — Hospital insurance: inpatient hospital stays, skilled nursing facility care, hospice and home health. No premium if you or your spouse worked 40+ quarters (most retirees pay $0). Pitt plans coordinate with Part A.</w:t>
      </w:r>
    </w:p>
    <w:p w14:paraId="5F9875D0" w14:textId="76EC962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Part B — Medical insurance: doctor and outpatient services, preventive care and screenings, durable medical equipment. Standard 2026 premium is $202.90/month, deducted from Social Security. Required for all 6 Pitt post-65 plans.</w:t>
      </w:r>
    </w:p>
    <w:p w14:paraId="145FFBCA" w14:textId="414B1E4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Part C — Medicare Advantage: replaces Original Medicare. 4 of Pitt’s 6 plans are this type (UPMC for Life HMO and two PPOs; Highmark Freedom Blue PPO). </w:t>
      </w:r>
      <w:proofErr w:type="gramStart"/>
      <w:r w:rsidRPr="0016752A">
        <w:rPr>
          <w:rFonts w:ascii="Arial" w:hAnsi="Arial" w:cs="Arial"/>
          <w:color w:val="333333"/>
          <w:sz w:val="20"/>
        </w:rPr>
        <w:t>The Part</w:t>
      </w:r>
      <w:proofErr w:type="gramEnd"/>
      <w:r w:rsidRPr="0016752A">
        <w:rPr>
          <w:rFonts w:ascii="Arial" w:hAnsi="Arial" w:cs="Arial"/>
          <w:color w:val="333333"/>
          <w:sz w:val="20"/>
        </w:rPr>
        <w:t xml:space="preserve"> B premium is still required.</w:t>
      </w:r>
    </w:p>
    <w:p w14:paraId="7C33529A" w14:textId="57F4C904"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Part D — Prescription drug: all 6 Pitt plans include Rx coverage, so no separate Part D purchase is needed. For 2026 there is a $2,100 cap on out-of-pocket drug costs (Inflation Reduction Act).</w:t>
      </w:r>
    </w:p>
    <w:p w14:paraId="2FE5416A" w14:textId="090B530E"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IRMAA — income-related surcharge (2026 premiums, based on 2024 income)</w:t>
      </w:r>
    </w:p>
    <w:p w14:paraId="0800A9F1" w14:textId="1664645D" w:rsidR="0039200B" w:rsidRPr="0016752A" w:rsidRDefault="0039200B" w:rsidP="0016752A">
      <w:pPr>
        <w:spacing w:before="60" w:after="60" w:line="250" w:lineRule="auto"/>
        <w:rPr>
          <w:rFonts w:ascii="Arial" w:hAnsi="Arial" w:cs="Arial"/>
          <w:color w:val="333333"/>
          <w:sz w:val="20"/>
        </w:rPr>
      </w:pPr>
      <w:r w:rsidRPr="0016752A">
        <w:rPr>
          <w:rFonts w:ascii="Arial" w:hAnsi="Arial" w:cs="Arial"/>
          <w:color w:val="333333"/>
          <w:sz w:val="20"/>
        </w:rPr>
        <w:t xml:space="preserve">Headline figures: with individual income at or below $109,000 (or joint </w:t>
      </w:r>
      <w:proofErr w:type="gramStart"/>
      <w:r w:rsidRPr="0016752A">
        <w:rPr>
          <w:rFonts w:ascii="Arial" w:hAnsi="Arial" w:cs="Arial"/>
          <w:color w:val="333333"/>
          <w:sz w:val="20"/>
        </w:rPr>
        <w:t>income at</w:t>
      </w:r>
      <w:proofErr w:type="gramEnd"/>
      <w:r w:rsidRPr="0016752A">
        <w:rPr>
          <w:rFonts w:ascii="Arial" w:hAnsi="Arial" w:cs="Arial"/>
          <w:color w:val="333333"/>
          <w:sz w:val="20"/>
        </w:rPr>
        <w:t xml:space="preserve"> or below $218,000), </w:t>
      </w:r>
      <w:proofErr w:type="gramStart"/>
      <w:r w:rsidRPr="0016752A">
        <w:rPr>
          <w:rFonts w:ascii="Arial" w:hAnsi="Arial" w:cs="Arial"/>
          <w:color w:val="333333"/>
          <w:sz w:val="20"/>
        </w:rPr>
        <w:t>the Part</w:t>
      </w:r>
      <w:proofErr w:type="gramEnd"/>
      <w:r w:rsidRPr="0016752A">
        <w:rPr>
          <w:rFonts w:ascii="Arial" w:hAnsi="Arial" w:cs="Arial"/>
          <w:color w:val="333333"/>
          <w:sz w:val="20"/>
        </w:rPr>
        <w:t xml:space="preserve"> B premium is $202.90/month with no Part D surcharge. Above those thresholds the Part B premium rises through six brackets to a maximum of $689.90/month, and a Part D surcharge of $14.50 to $91.00/month is automatically added. The top bracket begins above $500,000 individual / $750,000 joint income.</w:t>
      </w:r>
    </w:p>
    <w:p w14:paraId="3AF504F7" w14:textId="142113F9" w:rsidR="0039200B" w:rsidRPr="0016752A" w:rsidRDefault="04F53CB3" w:rsidP="0EC32285">
      <w:pPr>
        <w:spacing w:before="60" w:after="60" w:line="230" w:lineRule="auto"/>
        <w:rPr>
          <w:rFonts w:ascii="Arial" w:hAnsi="Arial" w:cs="Arial"/>
          <w:color w:val="333333"/>
          <w:sz w:val="20"/>
          <w:szCs w:val="20"/>
        </w:rPr>
      </w:pPr>
      <w:r w:rsidRPr="0EC32285">
        <w:rPr>
          <w:rFonts w:ascii="Arial" w:hAnsi="Arial" w:cs="Arial"/>
          <w:color w:val="333333"/>
          <w:sz w:val="20"/>
          <w:szCs w:val="20"/>
        </w:rPr>
        <w:t xml:space="preserve">IRMAA is based on your income from two years prior. You </w:t>
      </w:r>
      <w:proofErr w:type="gramStart"/>
      <w:r w:rsidRPr="0EC32285">
        <w:rPr>
          <w:rFonts w:ascii="Arial" w:hAnsi="Arial" w:cs="Arial"/>
          <w:color w:val="333333"/>
          <w:sz w:val="20"/>
          <w:szCs w:val="20"/>
        </w:rPr>
        <w:t>can</w:t>
      </w:r>
      <w:proofErr w:type="gramEnd"/>
      <w:r w:rsidRPr="0EC32285">
        <w:rPr>
          <w:rFonts w:ascii="Arial" w:hAnsi="Arial" w:cs="Arial"/>
          <w:color w:val="333333"/>
          <w:sz w:val="20"/>
          <w:szCs w:val="20"/>
        </w:rPr>
        <w:t xml:space="preserve"> appeal if your income dropped because of retirement, marriage, divorce, or the death of a spouse. Learn more at medicare.gov/basics/costs. Note: </w:t>
      </w:r>
      <w:proofErr w:type="gramStart"/>
      <w:r w:rsidRPr="0EC32285">
        <w:rPr>
          <w:rFonts w:ascii="Arial" w:hAnsi="Arial" w:cs="Arial"/>
          <w:color w:val="333333"/>
          <w:sz w:val="20"/>
          <w:szCs w:val="20"/>
        </w:rPr>
        <w:t>the</w:t>
      </w:r>
      <w:proofErr w:type="gramEnd"/>
      <w:r w:rsidRPr="0EC32285">
        <w:rPr>
          <w:rFonts w:ascii="Arial" w:hAnsi="Arial" w:cs="Arial"/>
          <w:color w:val="333333"/>
          <w:sz w:val="20"/>
          <w:szCs w:val="20"/>
        </w:rPr>
        <w:t xml:space="preserve"> University’s $401/month DDB credit offsets your Pitt plan premium — not your Medicare premium.</w:t>
      </w:r>
    </w:p>
    <w:p w14:paraId="2E5D19C4" w14:textId="74025CA9" w:rsidR="0014654E" w:rsidRPr="0016752A" w:rsidRDefault="0014654E" w:rsidP="266DA53E">
      <w:pPr>
        <w:pStyle w:val="Heading1"/>
        <w:pBdr>
          <w:bottom w:val="single" w:sz="4" w:space="1" w:color="FFB81C"/>
        </w:pBdr>
        <w:spacing w:after="120" w:line="320" w:lineRule="auto"/>
      </w:pPr>
      <w:r w:rsidRPr="266DA53E">
        <w:rPr>
          <w:rFonts w:ascii="Arial" w:hAnsi="Arial" w:cs="Arial"/>
          <w:b/>
          <w:bCs/>
          <w:color w:val="003594"/>
          <w:sz w:val="28"/>
          <w:szCs w:val="28"/>
        </w:rPr>
        <w:lastRenderedPageBreak/>
        <w:t>5. Advantage vs. Supplement — and How Billing Works</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620" w:firstRow="1" w:lastRow="0" w:firstColumn="0" w:lastColumn="0" w:noHBand="1" w:noVBand="1"/>
      </w:tblPr>
      <w:tblGrid>
        <w:gridCol w:w="1799"/>
        <w:gridCol w:w="4135"/>
        <w:gridCol w:w="4136"/>
      </w:tblGrid>
      <w:tr w:rsidR="0039200B" w:rsidRPr="0016752A" w14:paraId="027D229A" w14:textId="77777777" w:rsidTr="0EC32285">
        <w:trPr>
          <w:tblHeader/>
        </w:trPr>
        <w:tc>
          <w:tcPr>
            <w:tcW w:w="1800" w:type="dxa"/>
            <w:shd w:val="clear" w:color="auto" w:fill="003594"/>
            <w:tcMar>
              <w:top w:w="60" w:type="dxa"/>
              <w:left w:w="120" w:type="dxa"/>
              <w:bottom w:w="60" w:type="dxa"/>
              <w:right w:w="120" w:type="dxa"/>
            </w:tcMar>
          </w:tcPr>
          <w:p w14:paraId="17DBCAC7" w14:textId="028E9DE9"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Feature</w:t>
            </w:r>
          </w:p>
        </w:tc>
        <w:tc>
          <w:tcPr>
            <w:tcW w:w="4140" w:type="dxa"/>
            <w:shd w:val="clear" w:color="auto" w:fill="003594"/>
            <w:tcMar>
              <w:top w:w="60" w:type="dxa"/>
              <w:left w:w="120" w:type="dxa"/>
              <w:bottom w:w="60" w:type="dxa"/>
              <w:right w:w="120" w:type="dxa"/>
            </w:tcMar>
          </w:tcPr>
          <w:p w14:paraId="65FEE9CA" w14:textId="344CAACB"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Medicare Advantage (4 plans)</w:t>
            </w:r>
          </w:p>
        </w:tc>
        <w:tc>
          <w:tcPr>
            <w:tcW w:w="4140" w:type="dxa"/>
            <w:shd w:val="clear" w:color="auto" w:fill="003594"/>
            <w:tcMar>
              <w:top w:w="60" w:type="dxa"/>
              <w:left w:w="120" w:type="dxa"/>
              <w:bottom w:w="60" w:type="dxa"/>
              <w:right w:w="120" w:type="dxa"/>
            </w:tcMar>
          </w:tcPr>
          <w:p w14:paraId="7F5BDEBE" w14:textId="7C40FB98"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Medicare Supplement (2 plans)</w:t>
            </w:r>
          </w:p>
        </w:tc>
      </w:tr>
      <w:tr w:rsidR="0039200B" w:rsidRPr="0016752A" w14:paraId="220376F4" w14:textId="77777777" w:rsidTr="0EC32285">
        <w:tc>
          <w:tcPr>
            <w:tcW w:w="1800" w:type="dxa"/>
            <w:shd w:val="clear" w:color="auto" w:fill="D6E4F7"/>
            <w:tcMar>
              <w:top w:w="60" w:type="dxa"/>
              <w:left w:w="120" w:type="dxa"/>
              <w:bottom w:w="60" w:type="dxa"/>
              <w:right w:w="120" w:type="dxa"/>
            </w:tcMar>
          </w:tcPr>
          <w:p w14:paraId="15A51FED" w14:textId="640102DB"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Plans</w:t>
            </w:r>
          </w:p>
        </w:tc>
        <w:tc>
          <w:tcPr>
            <w:tcW w:w="4140" w:type="dxa"/>
            <w:shd w:val="clear" w:color="auto" w:fill="FFFFFF" w:themeFill="background1"/>
            <w:tcMar>
              <w:top w:w="60" w:type="dxa"/>
              <w:left w:w="120" w:type="dxa"/>
              <w:bottom w:w="60" w:type="dxa"/>
              <w:right w:w="120" w:type="dxa"/>
            </w:tcMar>
          </w:tcPr>
          <w:p w14:paraId="7AC6807E" w14:textId="15D78984"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for Life HMO, PPO Standard, PPO Basic; Highmark Freedom Blue PPO</w:t>
            </w:r>
          </w:p>
        </w:tc>
        <w:tc>
          <w:tcPr>
            <w:tcW w:w="4140" w:type="dxa"/>
            <w:shd w:val="clear" w:color="auto" w:fill="FFFFFF" w:themeFill="background1"/>
            <w:tcMar>
              <w:top w:w="60" w:type="dxa"/>
              <w:left w:w="120" w:type="dxa"/>
              <w:bottom w:w="60" w:type="dxa"/>
              <w:right w:w="120" w:type="dxa"/>
            </w:tcMar>
          </w:tcPr>
          <w:p w14:paraId="2C3C57DD" w14:textId="08C34D6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National Complementary; Highmark Signature 65</w:t>
            </w:r>
          </w:p>
        </w:tc>
      </w:tr>
      <w:tr w:rsidR="0039200B" w:rsidRPr="0016752A" w14:paraId="0D37D8F4" w14:textId="77777777" w:rsidTr="0EC32285">
        <w:tc>
          <w:tcPr>
            <w:tcW w:w="1800" w:type="dxa"/>
            <w:shd w:val="clear" w:color="auto" w:fill="D6E4F7"/>
            <w:tcMar>
              <w:top w:w="60" w:type="dxa"/>
              <w:left w:w="120" w:type="dxa"/>
              <w:bottom w:w="60" w:type="dxa"/>
              <w:right w:w="120" w:type="dxa"/>
            </w:tcMar>
          </w:tcPr>
          <w:p w14:paraId="79F734EC" w14:textId="477CD742"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How it works</w:t>
            </w:r>
          </w:p>
        </w:tc>
        <w:tc>
          <w:tcPr>
            <w:tcW w:w="4140" w:type="dxa"/>
            <w:shd w:val="clear" w:color="auto" w:fill="FFFFFF" w:themeFill="background1"/>
            <w:tcMar>
              <w:top w:w="60" w:type="dxa"/>
              <w:left w:w="120" w:type="dxa"/>
              <w:bottom w:w="60" w:type="dxa"/>
              <w:right w:w="120" w:type="dxa"/>
            </w:tcMar>
          </w:tcPr>
          <w:p w14:paraId="1BB62A1D" w14:textId="1B5AE854"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Replaces Original Medicare; the Pitt plan is primary</w:t>
            </w:r>
          </w:p>
        </w:tc>
        <w:tc>
          <w:tcPr>
            <w:tcW w:w="4140" w:type="dxa"/>
            <w:shd w:val="clear" w:color="auto" w:fill="FFFFFF" w:themeFill="background1"/>
            <w:tcMar>
              <w:top w:w="60" w:type="dxa"/>
              <w:left w:w="120" w:type="dxa"/>
              <w:bottom w:w="60" w:type="dxa"/>
              <w:right w:w="120" w:type="dxa"/>
            </w:tcMar>
          </w:tcPr>
          <w:p w14:paraId="367A4F10" w14:textId="098FA0D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Works alongside Original Medicare to fill gaps; the Pitt plan is secondary</w:t>
            </w:r>
          </w:p>
        </w:tc>
      </w:tr>
      <w:tr w:rsidR="0039200B" w:rsidRPr="0016752A" w14:paraId="5C820A79" w14:textId="77777777" w:rsidTr="0EC32285">
        <w:tc>
          <w:tcPr>
            <w:tcW w:w="1800" w:type="dxa"/>
            <w:shd w:val="clear" w:color="auto" w:fill="D6E4F7"/>
            <w:tcMar>
              <w:top w:w="60" w:type="dxa"/>
              <w:left w:w="120" w:type="dxa"/>
              <w:bottom w:w="60" w:type="dxa"/>
              <w:right w:w="120" w:type="dxa"/>
            </w:tcMar>
          </w:tcPr>
          <w:p w14:paraId="328ACEB3" w14:textId="6619B556"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Residency</w:t>
            </w:r>
          </w:p>
        </w:tc>
        <w:tc>
          <w:tcPr>
            <w:tcW w:w="4140" w:type="dxa"/>
            <w:shd w:val="clear" w:color="auto" w:fill="FFFFFF" w:themeFill="background1"/>
            <w:tcMar>
              <w:top w:w="60" w:type="dxa"/>
              <w:left w:w="120" w:type="dxa"/>
              <w:bottom w:w="60" w:type="dxa"/>
              <w:right w:w="120" w:type="dxa"/>
            </w:tcMar>
          </w:tcPr>
          <w:p w14:paraId="12287C80" w14:textId="034E99A9"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Western PA required for UPMC plans; Highmark Freedom Blue is PA/National</w:t>
            </w:r>
          </w:p>
        </w:tc>
        <w:tc>
          <w:tcPr>
            <w:tcW w:w="4140" w:type="dxa"/>
            <w:shd w:val="clear" w:color="auto" w:fill="FFFFFF" w:themeFill="background1"/>
            <w:tcMar>
              <w:top w:w="60" w:type="dxa"/>
              <w:left w:w="120" w:type="dxa"/>
              <w:bottom w:w="60" w:type="dxa"/>
              <w:right w:w="120" w:type="dxa"/>
            </w:tcMar>
          </w:tcPr>
          <w:p w14:paraId="363CFB50" w14:textId="79698DB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Pennsylvania or National — good for travelers or those outside Western PA</w:t>
            </w:r>
          </w:p>
        </w:tc>
      </w:tr>
      <w:tr w:rsidR="0039200B" w:rsidRPr="0016752A" w14:paraId="638E62CB" w14:textId="77777777" w:rsidTr="0EC32285">
        <w:tc>
          <w:tcPr>
            <w:tcW w:w="1800" w:type="dxa"/>
            <w:shd w:val="clear" w:color="auto" w:fill="D6E4F7"/>
            <w:tcMar>
              <w:top w:w="60" w:type="dxa"/>
              <w:left w:w="120" w:type="dxa"/>
              <w:bottom w:w="60" w:type="dxa"/>
              <w:right w:w="120" w:type="dxa"/>
            </w:tcMar>
          </w:tcPr>
          <w:p w14:paraId="03D898B4" w14:textId="616E4420"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Network</w:t>
            </w:r>
          </w:p>
        </w:tc>
        <w:tc>
          <w:tcPr>
            <w:tcW w:w="4140" w:type="dxa"/>
            <w:shd w:val="clear" w:color="auto" w:fill="FFFFFF" w:themeFill="background1"/>
            <w:tcMar>
              <w:top w:w="60" w:type="dxa"/>
              <w:left w:w="120" w:type="dxa"/>
              <w:bottom w:w="60" w:type="dxa"/>
              <w:right w:w="120" w:type="dxa"/>
            </w:tcMar>
          </w:tcPr>
          <w:p w14:paraId="2766F594" w14:textId="5E387BA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network (HMO/PPO) or Highmark network; referrals may be required for the HMO</w:t>
            </w:r>
          </w:p>
        </w:tc>
        <w:tc>
          <w:tcPr>
            <w:tcW w:w="4140" w:type="dxa"/>
            <w:shd w:val="clear" w:color="auto" w:fill="FFFFFF" w:themeFill="background1"/>
            <w:tcMar>
              <w:top w:w="60" w:type="dxa"/>
              <w:left w:w="120" w:type="dxa"/>
              <w:bottom w:w="60" w:type="dxa"/>
              <w:right w:w="120" w:type="dxa"/>
            </w:tcMar>
          </w:tcPr>
          <w:p w14:paraId="33E7ED7B" w14:textId="37EBC0EE"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Any physician or facility that accepts Medicare, nationwide</w:t>
            </w:r>
          </w:p>
        </w:tc>
      </w:tr>
      <w:tr w:rsidR="0039200B" w:rsidRPr="0016752A" w14:paraId="253D245F" w14:textId="77777777" w:rsidTr="0EC32285">
        <w:tc>
          <w:tcPr>
            <w:tcW w:w="1800" w:type="dxa"/>
            <w:shd w:val="clear" w:color="auto" w:fill="D6E4F7"/>
            <w:tcMar>
              <w:top w:w="60" w:type="dxa"/>
              <w:left w:w="120" w:type="dxa"/>
              <w:bottom w:w="60" w:type="dxa"/>
              <w:right w:w="120" w:type="dxa"/>
            </w:tcMar>
          </w:tcPr>
          <w:p w14:paraId="68710127" w14:textId="6A554473"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Rx</w:t>
            </w:r>
          </w:p>
        </w:tc>
        <w:tc>
          <w:tcPr>
            <w:tcW w:w="4140" w:type="dxa"/>
            <w:shd w:val="clear" w:color="auto" w:fill="FFFFFF" w:themeFill="background1"/>
            <w:tcMar>
              <w:top w:w="60" w:type="dxa"/>
              <w:left w:w="120" w:type="dxa"/>
              <w:bottom w:w="60" w:type="dxa"/>
              <w:right w:w="120" w:type="dxa"/>
            </w:tcMar>
          </w:tcPr>
          <w:p w14:paraId="5246153A" w14:textId="642FCF62"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Built-in and creditable — do not buy separate Part D</w:t>
            </w:r>
          </w:p>
        </w:tc>
        <w:tc>
          <w:tcPr>
            <w:tcW w:w="4140" w:type="dxa"/>
            <w:shd w:val="clear" w:color="auto" w:fill="FFFFFF" w:themeFill="background1"/>
            <w:tcMar>
              <w:top w:w="60" w:type="dxa"/>
              <w:left w:w="120" w:type="dxa"/>
              <w:bottom w:w="60" w:type="dxa"/>
              <w:right w:w="120" w:type="dxa"/>
            </w:tcMar>
          </w:tcPr>
          <w:p w14:paraId="65A926AA" w14:textId="1933DA1D"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Built-in and creditable — do not buy separate Part D</w:t>
            </w:r>
          </w:p>
        </w:tc>
      </w:tr>
      <w:tr w:rsidR="0039200B" w:rsidRPr="0016752A" w14:paraId="6CA06C42" w14:textId="77777777" w:rsidTr="0EC32285">
        <w:tc>
          <w:tcPr>
            <w:tcW w:w="1800" w:type="dxa"/>
            <w:shd w:val="clear" w:color="auto" w:fill="D6E4F7"/>
            <w:tcMar>
              <w:top w:w="60" w:type="dxa"/>
              <w:left w:w="120" w:type="dxa"/>
              <w:bottom w:w="60" w:type="dxa"/>
              <w:right w:w="120" w:type="dxa"/>
            </w:tcMar>
          </w:tcPr>
          <w:p w14:paraId="35A91778" w14:textId="75435982"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Part B premium</w:t>
            </w:r>
          </w:p>
        </w:tc>
        <w:tc>
          <w:tcPr>
            <w:tcW w:w="4140" w:type="dxa"/>
            <w:shd w:val="clear" w:color="auto" w:fill="FFFFFF" w:themeFill="background1"/>
            <w:tcMar>
              <w:top w:w="60" w:type="dxa"/>
              <w:left w:w="120" w:type="dxa"/>
              <w:bottom w:w="60" w:type="dxa"/>
              <w:right w:w="120" w:type="dxa"/>
            </w:tcMar>
          </w:tcPr>
          <w:p w14:paraId="32F630F5" w14:textId="33CDBB4D"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Still required — deducted from Social Security</w:t>
            </w:r>
          </w:p>
        </w:tc>
        <w:tc>
          <w:tcPr>
            <w:tcW w:w="4140" w:type="dxa"/>
            <w:shd w:val="clear" w:color="auto" w:fill="FFFFFF" w:themeFill="background1"/>
            <w:tcMar>
              <w:top w:w="60" w:type="dxa"/>
              <w:left w:w="120" w:type="dxa"/>
              <w:bottom w:w="60" w:type="dxa"/>
              <w:right w:w="120" w:type="dxa"/>
            </w:tcMar>
          </w:tcPr>
          <w:p w14:paraId="29C10318" w14:textId="7697422D"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Still required — deducted from Social Security</w:t>
            </w:r>
          </w:p>
        </w:tc>
      </w:tr>
      <w:tr w:rsidR="0039200B" w:rsidRPr="0016752A" w14:paraId="16BA9E0F" w14:textId="77777777" w:rsidTr="0EC32285">
        <w:tc>
          <w:tcPr>
            <w:tcW w:w="1800" w:type="dxa"/>
            <w:shd w:val="clear" w:color="auto" w:fill="D6E4F7"/>
            <w:tcMar>
              <w:top w:w="60" w:type="dxa"/>
              <w:left w:w="120" w:type="dxa"/>
              <w:bottom w:w="60" w:type="dxa"/>
              <w:right w:w="120" w:type="dxa"/>
            </w:tcMar>
          </w:tcPr>
          <w:p w14:paraId="61661730" w14:textId="23D2A3F2"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2026 premium range</w:t>
            </w:r>
          </w:p>
        </w:tc>
        <w:tc>
          <w:tcPr>
            <w:tcW w:w="4140" w:type="dxa"/>
            <w:shd w:val="clear" w:color="auto" w:fill="FFFFFF" w:themeFill="background1"/>
            <w:tcMar>
              <w:top w:w="60" w:type="dxa"/>
              <w:left w:w="120" w:type="dxa"/>
              <w:bottom w:w="60" w:type="dxa"/>
              <w:right w:w="120" w:type="dxa"/>
            </w:tcMar>
          </w:tcPr>
          <w:p w14:paraId="249465FB" w14:textId="62E84E7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$258–$314/mo (after DDB credit: $0 for most plans)</w:t>
            </w:r>
          </w:p>
        </w:tc>
        <w:tc>
          <w:tcPr>
            <w:tcW w:w="4140" w:type="dxa"/>
            <w:shd w:val="clear" w:color="auto" w:fill="FFFFFF" w:themeFill="background1"/>
            <w:tcMar>
              <w:top w:w="60" w:type="dxa"/>
              <w:left w:w="120" w:type="dxa"/>
              <w:bottom w:w="60" w:type="dxa"/>
              <w:right w:w="120" w:type="dxa"/>
            </w:tcMar>
          </w:tcPr>
          <w:p w14:paraId="6C1903FB" w14:textId="0516CCA7"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$412–$440.58/mo (after DDB: $11–$39.58/mo)</w:t>
            </w:r>
          </w:p>
        </w:tc>
      </w:tr>
      <w:tr w:rsidR="0039200B" w:rsidRPr="0016752A" w14:paraId="1F4704C4" w14:textId="77777777" w:rsidTr="0EC32285">
        <w:tc>
          <w:tcPr>
            <w:tcW w:w="1800" w:type="dxa"/>
            <w:shd w:val="clear" w:color="auto" w:fill="D6E4F7"/>
            <w:tcMar>
              <w:top w:w="60" w:type="dxa"/>
              <w:left w:w="120" w:type="dxa"/>
              <w:bottom w:w="60" w:type="dxa"/>
              <w:right w:w="120" w:type="dxa"/>
            </w:tcMar>
          </w:tcPr>
          <w:p w14:paraId="104E7241" w14:textId="56B5D698" w:rsidR="0039200B" w:rsidRPr="0016752A" w:rsidRDefault="0039200B" w:rsidP="0EC32285">
            <w:pPr>
              <w:spacing w:before="60" w:after="60" w:line="230" w:lineRule="auto"/>
              <w:rPr>
                <w:rFonts w:ascii="Arial" w:eastAsiaTheme="majorEastAsia" w:hAnsi="Arial" w:cs="Arial"/>
                <w:b/>
                <w:bCs/>
                <w:color w:val="003594"/>
                <w:sz w:val="19"/>
                <w:szCs w:val="19"/>
              </w:rPr>
            </w:pPr>
            <w:r w:rsidRPr="0EC32285">
              <w:rPr>
                <w:rFonts w:ascii="Arial" w:eastAsiaTheme="majorEastAsia" w:hAnsi="Arial" w:cs="Arial"/>
                <w:b/>
                <w:bCs/>
                <w:color w:val="003594"/>
                <w:sz w:val="19"/>
                <w:szCs w:val="19"/>
              </w:rPr>
              <w:t>Best for</w:t>
            </w:r>
          </w:p>
        </w:tc>
        <w:tc>
          <w:tcPr>
            <w:tcW w:w="4140" w:type="dxa"/>
            <w:shd w:val="clear" w:color="auto" w:fill="FFFFFF" w:themeFill="background1"/>
            <w:tcMar>
              <w:top w:w="60" w:type="dxa"/>
              <w:left w:w="120" w:type="dxa"/>
              <w:bottom w:w="60" w:type="dxa"/>
              <w:right w:w="120" w:type="dxa"/>
            </w:tcMar>
          </w:tcPr>
          <w:p w14:paraId="2C81E20F" w14:textId="18F65A57"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for Life HMO: Western PA residents. PPO plans and Highmark Freedom Blue: nationwide access</w:t>
            </w:r>
          </w:p>
        </w:tc>
        <w:tc>
          <w:tcPr>
            <w:tcW w:w="4140" w:type="dxa"/>
            <w:shd w:val="clear" w:color="auto" w:fill="FFFFFF" w:themeFill="background1"/>
            <w:tcMar>
              <w:top w:w="60" w:type="dxa"/>
              <w:left w:w="120" w:type="dxa"/>
              <w:bottom w:w="60" w:type="dxa"/>
              <w:right w:w="120" w:type="dxa"/>
            </w:tcMar>
          </w:tcPr>
          <w:p w14:paraId="0DCA2701" w14:textId="3DF47C4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Frequent travelers, out-of-state residents, or those wanting the broadest access</w:t>
            </w:r>
          </w:p>
        </w:tc>
      </w:tr>
    </w:tbl>
    <w:p w14:paraId="7DAB3151" w14:textId="77777777" w:rsidR="0039200B" w:rsidRPr="0016752A" w:rsidRDefault="0039200B" w:rsidP="0016752A">
      <w:pPr>
        <w:spacing w:before="60" w:after="60" w:line="250" w:lineRule="auto"/>
        <w:rPr>
          <w:rFonts w:ascii="Arial" w:hAnsi="Arial" w:cs="Arial"/>
          <w:color w:val="333333"/>
          <w:sz w:val="20"/>
        </w:rPr>
      </w:pPr>
    </w:p>
    <w:p w14:paraId="0AD6121F" w14:textId="5181F2B2"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Primary vs. secondary billing</w:t>
      </w:r>
    </w:p>
    <w:p w14:paraId="55CE36FB" w14:textId="63200C7B"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Medicare Supplement: (1) you receive a service, (2) Medicare pays first as primary payer, (3) your Pitt supplement pays next as secondary payer.</w:t>
      </w:r>
    </w:p>
    <w:p w14:paraId="0D612144" w14:textId="30826582" w:rsidR="0039200B" w:rsidRPr="0016752A" w:rsidRDefault="04F53CB3" w:rsidP="0ACDE180">
      <w:pPr>
        <w:pStyle w:val="ListBullet"/>
        <w:spacing w:before="40" w:after="40" w:line="250" w:lineRule="auto"/>
        <w:rPr>
          <w:rFonts w:ascii="Arial" w:hAnsi="Arial" w:cs="Arial"/>
          <w:color w:val="333333"/>
          <w:sz w:val="20"/>
          <w:szCs w:val="20"/>
        </w:rPr>
      </w:pPr>
      <w:r w:rsidRPr="0ACDE180">
        <w:rPr>
          <w:rFonts w:ascii="Arial" w:hAnsi="Arial" w:cs="Arial"/>
          <w:color w:val="333333"/>
          <w:sz w:val="20"/>
          <w:szCs w:val="20"/>
        </w:rPr>
        <w:t>Medicare Advantage: (1) show your plan ID card at the provider, (2) your Advantage plan pays as primary, (3) there is no secondary payer — the plan replaces Original Medicare rather than coordinating with it.</w:t>
      </w:r>
    </w:p>
    <w:p w14:paraId="4A6DDA5A" w14:textId="1DB8897F" w:rsidR="00701802" w:rsidRPr="0016752A" w:rsidRDefault="00701802" w:rsidP="0ACDE180">
      <w:pPr>
        <w:pStyle w:val="Heading1"/>
        <w:pBdr>
          <w:bottom w:val="single" w:sz="4" w:space="1" w:color="FFB81C"/>
        </w:pBdr>
        <w:spacing w:after="120" w:line="320" w:lineRule="auto"/>
        <w:rPr>
          <w:rFonts w:ascii="Arial" w:hAnsi="Arial" w:cs="Arial"/>
          <w:b/>
          <w:bCs/>
          <w:color w:val="003594"/>
          <w:sz w:val="28"/>
          <w:szCs w:val="28"/>
        </w:rPr>
      </w:pPr>
      <w:r w:rsidRPr="0ACDE180">
        <w:rPr>
          <w:rFonts w:ascii="Arial" w:hAnsi="Arial" w:cs="Arial"/>
          <w:b/>
          <w:bCs/>
          <w:color w:val="003594"/>
          <w:sz w:val="28"/>
          <w:szCs w:val="28"/>
        </w:rPr>
        <w:t>6. Six Common Medicare Mistakes to Avoid</w:t>
      </w:r>
    </w:p>
    <w:p w14:paraId="630B117A" w14:textId="735E7952" w:rsidR="0039200B" w:rsidRPr="0016752A" w:rsidRDefault="00701802" w:rsidP="0E954F79">
      <w:pPr>
        <w:pStyle w:val="ListBullet"/>
        <w:spacing w:before="40" w:after="40" w:line="250" w:lineRule="auto"/>
        <w:rPr>
          <w:rFonts w:ascii="Arial" w:hAnsi="Arial" w:cs="Arial"/>
          <w:color w:val="333333"/>
          <w:sz w:val="20"/>
          <w:szCs w:val="20"/>
        </w:rPr>
      </w:pPr>
      <w:r w:rsidRPr="0EC32285">
        <w:rPr>
          <w:rFonts w:ascii="Arial" w:hAnsi="Arial" w:cs="Arial"/>
          <w:color w:val="333333"/>
          <w:sz w:val="20"/>
          <w:szCs w:val="20"/>
        </w:rPr>
        <w:t xml:space="preserve">Not enrolling in Part B at 65 if no longer working. All 6 Pitt post-65 plans require Part B. </w:t>
      </w:r>
      <w:proofErr w:type="gramStart"/>
      <w:r w:rsidRPr="0EC32285">
        <w:rPr>
          <w:rFonts w:ascii="Arial" w:hAnsi="Arial" w:cs="Arial"/>
          <w:color w:val="333333"/>
          <w:sz w:val="20"/>
          <w:szCs w:val="20"/>
        </w:rPr>
        <w:t>Skipping it</w:t>
      </w:r>
      <w:proofErr w:type="gramEnd"/>
      <w:r w:rsidRPr="0EC32285">
        <w:rPr>
          <w:rFonts w:ascii="Arial" w:hAnsi="Arial" w:cs="Arial"/>
          <w:color w:val="333333"/>
          <w:sz w:val="20"/>
          <w:szCs w:val="20"/>
        </w:rPr>
        <w:t xml:space="preserve"> bars you from Pitt’s retiree plans and causes permanent premium penalties.</w:t>
      </w:r>
    </w:p>
    <w:p w14:paraId="251B3EC6" w14:textId="2143ECAD"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Buying a separate Part D plan. All Pitt post-65 plans include creditable drug coverage; a separate Part D is unnecessary and may create enrollment conflicts.</w:t>
      </w:r>
    </w:p>
    <w:p w14:paraId="0DC792EE" w14:textId="3C5C5A4D"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Missing the 7-month Initial Enrollment Period. Your IEP spans </w:t>
      </w:r>
      <w:proofErr w:type="gramStart"/>
      <w:r w:rsidRPr="0016752A">
        <w:rPr>
          <w:rFonts w:ascii="Arial" w:hAnsi="Arial" w:cs="Arial"/>
          <w:color w:val="333333"/>
          <w:sz w:val="20"/>
        </w:rPr>
        <w:t>the 3</w:t>
      </w:r>
      <w:proofErr w:type="gramEnd"/>
      <w:r w:rsidRPr="0016752A">
        <w:rPr>
          <w:rFonts w:ascii="Arial" w:hAnsi="Arial" w:cs="Arial"/>
          <w:color w:val="333333"/>
          <w:sz w:val="20"/>
        </w:rPr>
        <w:t xml:space="preserve"> months before your birth month, your birth month, and the 3 months after you turn 65. Missing it causes delayed coverage and lifelong premium penalties.</w:t>
      </w:r>
    </w:p>
    <w:p w14:paraId="491F1036" w14:textId="47BDBE6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Missing the BMS enrollment deadline. Submit your post-65 plan election form to BMS promptly; delay can cause a gap in retiree coverage. Status changes must be submitted within 60 days of the event.</w:t>
      </w:r>
    </w:p>
    <w:p w14:paraId="37A8DD39" w14:textId="643B929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Keeping HSA contributions after Medicare. Once enrolled in any part of Medicare you cannot contribute to an HSA. </w:t>
      </w:r>
      <w:proofErr w:type="gramStart"/>
      <w:r w:rsidRPr="0016752A">
        <w:rPr>
          <w:rFonts w:ascii="Arial" w:hAnsi="Arial" w:cs="Arial"/>
          <w:color w:val="333333"/>
          <w:sz w:val="20"/>
        </w:rPr>
        <w:t>Stop</w:t>
      </w:r>
      <w:proofErr w:type="gramEnd"/>
      <w:r w:rsidRPr="0016752A">
        <w:rPr>
          <w:rFonts w:ascii="Arial" w:hAnsi="Arial" w:cs="Arial"/>
          <w:color w:val="333333"/>
          <w:sz w:val="20"/>
        </w:rPr>
        <w:t xml:space="preserve"> contributions immediately; you can still spend the existing balance.</w:t>
      </w:r>
    </w:p>
    <w:p w14:paraId="3C3F4328" w14:textId="62003656"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Choosing the wrong plan for your location. UPMC for Life HMO and PPOs require Western PA residency. If you travel frequently or live outside Western PA, consider UPMC National Complementary or the Highmark plans.</w:t>
      </w:r>
    </w:p>
    <w:p w14:paraId="2D68594C" w14:textId="68813C9F" w:rsidR="0039200B" w:rsidRPr="0016752A" w:rsidRDefault="726988B2" w:rsidP="2C119E5F">
      <w:pPr>
        <w:spacing w:before="60" w:after="60" w:line="250" w:lineRule="auto"/>
        <w:rPr>
          <w:rFonts w:ascii="Arial" w:hAnsi="Arial" w:cs="Arial"/>
          <w:color w:val="333333"/>
          <w:sz w:val="20"/>
          <w:szCs w:val="20"/>
        </w:rPr>
      </w:pPr>
      <w:r w:rsidRPr="2C119E5F">
        <w:rPr>
          <w:rFonts w:ascii="Arial" w:hAnsi="Arial" w:cs="Arial"/>
          <w:color w:val="333333"/>
          <w:sz w:val="20"/>
          <w:szCs w:val="20"/>
        </w:rPr>
        <w:lastRenderedPageBreak/>
        <w:t>The COBRA trap: if you do not qualify for Pitt’s retiree medical coverage you will be offered COBRA — but COBRA is not active employer coverage. You must still enroll in Medicare at 65 to avoid lifelong late-enrollment penalties.</w:t>
      </w:r>
    </w:p>
    <w:p w14:paraId="6395DD6C" w14:textId="7AF08727" w:rsidR="00C815A4" w:rsidRPr="0016752A" w:rsidRDefault="00C815A4" w:rsidP="2C119E5F">
      <w:pPr>
        <w:pStyle w:val="Heading1"/>
        <w:pBdr>
          <w:bottom w:val="single" w:sz="4" w:space="1" w:color="FFB81C"/>
        </w:pBdr>
        <w:spacing w:after="120" w:line="320" w:lineRule="auto"/>
        <w:rPr>
          <w:rFonts w:ascii="Arial" w:hAnsi="Arial" w:cs="Arial"/>
          <w:b/>
          <w:bCs/>
          <w:color w:val="003594"/>
          <w:sz w:val="28"/>
          <w:szCs w:val="28"/>
        </w:rPr>
      </w:pPr>
      <w:r w:rsidRPr="2C119E5F">
        <w:rPr>
          <w:rFonts w:ascii="Arial" w:hAnsi="Arial" w:cs="Arial"/>
          <w:b/>
          <w:bCs/>
          <w:color w:val="003594"/>
          <w:sz w:val="28"/>
          <w:szCs w:val="28"/>
        </w:rPr>
        <w:t>7. UPMC Benefit Management Services (</w:t>
      </w:r>
      <w:proofErr w:type="gramStart"/>
      <w:r w:rsidRPr="2C119E5F">
        <w:rPr>
          <w:rFonts w:ascii="Arial" w:hAnsi="Arial" w:cs="Arial"/>
          <w:b/>
          <w:bCs/>
          <w:color w:val="003594"/>
          <w:sz w:val="28"/>
          <w:szCs w:val="28"/>
        </w:rPr>
        <w:t>BMS) —</w:t>
      </w:r>
      <w:proofErr w:type="gramEnd"/>
      <w:r w:rsidRPr="2C119E5F">
        <w:rPr>
          <w:rFonts w:ascii="Arial" w:hAnsi="Arial" w:cs="Arial"/>
          <w:b/>
          <w:bCs/>
          <w:color w:val="003594"/>
          <w:sz w:val="28"/>
          <w:szCs w:val="28"/>
        </w:rPr>
        <w:t xml:space="preserve"> Your Retiree Benefits Administrator</w:t>
      </w:r>
    </w:p>
    <w:p w14:paraId="0AE73272" w14:textId="075C5C6B" w:rsidR="0039200B" w:rsidRPr="0016752A" w:rsidRDefault="00C815A4" w:rsidP="0016752A">
      <w:pPr>
        <w:spacing w:before="60" w:after="60" w:line="250" w:lineRule="auto"/>
        <w:rPr>
          <w:rFonts w:ascii="Arial" w:hAnsi="Arial" w:cs="Arial"/>
          <w:color w:val="333333"/>
          <w:sz w:val="20"/>
        </w:rPr>
      </w:pPr>
      <w:r w:rsidRPr="0016752A">
        <w:rPr>
          <w:rFonts w:ascii="Arial" w:hAnsi="Arial" w:cs="Arial"/>
          <w:color w:val="333333"/>
          <w:sz w:val="20"/>
        </w:rPr>
        <w:t>BMS is the University’s third-party retiree benefits administrator, a subsidiary of UPMC. It handles day-to-day administration of retiree health, dental, vision, life insurance, and DDB credits. Services extend to you and your eligible family members.</w:t>
      </w:r>
    </w:p>
    <w:p w14:paraId="33E7E3CA" w14:textId="621A9E5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Enrollment and plan </w:t>
      </w:r>
      <w:proofErr w:type="gramStart"/>
      <w:r w:rsidRPr="0016752A">
        <w:rPr>
          <w:rFonts w:ascii="Arial" w:hAnsi="Arial" w:cs="Arial"/>
          <w:color w:val="333333"/>
          <w:sz w:val="20"/>
        </w:rPr>
        <w:t>administration:</w:t>
      </w:r>
      <w:proofErr w:type="gramEnd"/>
      <w:r w:rsidRPr="0016752A">
        <w:rPr>
          <w:rFonts w:ascii="Arial" w:hAnsi="Arial" w:cs="Arial"/>
          <w:color w:val="333333"/>
          <w:sz w:val="20"/>
        </w:rPr>
        <w:t xml:space="preserve"> sends new-retiree enrollment packets 30–60 days before retirement; distributes annual open enrollment packets to Pre-65 and </w:t>
      </w:r>
      <w:proofErr w:type="gramStart"/>
      <w:r w:rsidRPr="0016752A">
        <w:rPr>
          <w:rFonts w:ascii="Arial" w:hAnsi="Arial" w:cs="Arial"/>
          <w:color w:val="333333"/>
          <w:sz w:val="20"/>
        </w:rPr>
        <w:t>Post-65</w:t>
      </w:r>
      <w:proofErr w:type="gramEnd"/>
      <w:r w:rsidRPr="0016752A">
        <w:rPr>
          <w:rFonts w:ascii="Arial" w:hAnsi="Arial" w:cs="Arial"/>
          <w:color w:val="333333"/>
          <w:sz w:val="20"/>
        </w:rPr>
        <w:t xml:space="preserve"> retirees; confirms enrollment in medical, dental, vision, life, and DDB.</w:t>
      </w:r>
    </w:p>
    <w:p w14:paraId="34D840D2" w14:textId="673B889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Billing and DDB </w:t>
      </w:r>
      <w:proofErr w:type="gramStart"/>
      <w:r w:rsidRPr="0016752A">
        <w:rPr>
          <w:rFonts w:ascii="Arial" w:hAnsi="Arial" w:cs="Arial"/>
          <w:color w:val="333333"/>
          <w:sz w:val="20"/>
        </w:rPr>
        <w:t>reimbursements:</w:t>
      </w:r>
      <w:proofErr w:type="gramEnd"/>
      <w:r w:rsidRPr="0016752A">
        <w:rPr>
          <w:rFonts w:ascii="Arial" w:hAnsi="Arial" w:cs="Arial"/>
          <w:color w:val="333333"/>
          <w:sz w:val="20"/>
        </w:rPr>
        <w:t xml:space="preserve"> prepares and mails premium invoices when needed; processes monthly DDB reimbursement requests; sets up Automatic Premium Payment Authorization (APPA) and direct deposit.</w:t>
      </w:r>
    </w:p>
    <w:p w14:paraId="552D1DAB" w14:textId="3ED814A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Forms and documentation: medical carrier applications, dental and vision forms, DDB reimbursement claim forms, and address changes (forwarded to carriers automatically).</w:t>
      </w:r>
    </w:p>
    <w:p w14:paraId="54121C38" w14:textId="55D16A4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Online portals and records: </w:t>
      </w:r>
      <w:proofErr w:type="spellStart"/>
      <w:r w:rsidRPr="0016752A">
        <w:rPr>
          <w:rFonts w:ascii="Arial" w:hAnsi="Arial" w:cs="Arial"/>
          <w:color w:val="333333"/>
          <w:sz w:val="20"/>
        </w:rPr>
        <w:t>COBRAPoint</w:t>
      </w:r>
      <w:proofErr w:type="spellEnd"/>
      <w:r w:rsidRPr="0016752A">
        <w:rPr>
          <w:rFonts w:ascii="Arial" w:hAnsi="Arial" w:cs="Arial"/>
          <w:color w:val="333333"/>
          <w:sz w:val="20"/>
        </w:rPr>
        <w:t xml:space="preserve"> portal to view current retiree health and welfare coverages; DDB portal to view credit balances; annual DDB balance statements mailed to you each January.</w:t>
      </w:r>
    </w:p>
    <w:p w14:paraId="686F80F6" w14:textId="18B35328" w:rsidR="0039200B" w:rsidRPr="0016752A" w:rsidRDefault="0039200B" w:rsidP="0016752A">
      <w:pPr>
        <w:spacing w:before="60" w:after="60" w:line="250" w:lineRule="auto"/>
        <w:rPr>
          <w:rFonts w:ascii="Arial" w:hAnsi="Arial" w:cs="Arial"/>
          <w:color w:val="333333"/>
          <w:sz w:val="20"/>
        </w:rPr>
      </w:pPr>
      <w:r w:rsidRPr="0016752A">
        <w:rPr>
          <w:rFonts w:ascii="Arial" w:hAnsi="Arial" w:cs="Arial"/>
          <w:color w:val="333333"/>
          <w:sz w:val="20"/>
        </w:rPr>
        <w:t>Contact BMS: 1-888-499-6885 (select the “retiree” option), Monday–Friday 8 a.m.–6 p.m. • PITT-BMSdocs@upmc.edu • Fax 1-877-851-5591 • US Steel Tower, 600 Grant St, Pittsburgh, PA 15219</w:t>
      </w:r>
    </w:p>
    <w:p w14:paraId="3A0F1BFB" w14:textId="77777777" w:rsidR="00827ECC" w:rsidRPr="0016752A" w:rsidRDefault="00827ECC" w:rsidP="0016752A">
      <w:pPr>
        <w:pStyle w:val="Heading1"/>
        <w:pBdr>
          <w:bottom w:val="single" w:sz="4" w:space="1" w:color="FFB81C"/>
        </w:pBdr>
        <w:spacing w:after="120" w:line="320" w:lineRule="auto"/>
        <w:rPr>
          <w:rFonts w:ascii="Arial" w:hAnsi="Arial" w:cs="Arial"/>
          <w:b/>
          <w:color w:val="003594"/>
          <w:sz w:val="28"/>
        </w:rPr>
      </w:pPr>
      <w:r w:rsidRPr="0016752A">
        <w:rPr>
          <w:rFonts w:ascii="Arial" w:hAnsi="Arial" w:cs="Arial"/>
          <w:b/>
          <w:color w:val="003594"/>
          <w:sz w:val="28"/>
        </w:rPr>
        <w:t>8. Defined Dollar Benefit (DDB) Credits</w:t>
      </w:r>
    </w:p>
    <w:p w14:paraId="4FD9590B" w14:textId="70B13C21" w:rsidR="0039200B" w:rsidRPr="0016752A" w:rsidRDefault="00827ECC" w:rsidP="0016752A">
      <w:pPr>
        <w:spacing w:before="60" w:after="60" w:line="250" w:lineRule="auto"/>
        <w:rPr>
          <w:rFonts w:ascii="Arial" w:hAnsi="Arial" w:cs="Arial"/>
          <w:color w:val="333333"/>
          <w:sz w:val="20"/>
        </w:rPr>
      </w:pPr>
      <w:r w:rsidRPr="0016752A">
        <w:rPr>
          <w:rFonts w:ascii="Arial" w:hAnsi="Arial" w:cs="Arial"/>
          <w:color w:val="333333"/>
          <w:sz w:val="20"/>
        </w:rPr>
        <w:t>Current credit: $401 per month, per eligible person — the retiree and an eligible spouse/domestic partner each receive a separate $401 credit (2026 amount; reevaluated each January).</w:t>
      </w:r>
    </w:p>
    <w:p w14:paraId="4FBDDEB7" w14:textId="4215F1CA"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 credit-based system the University provides to eligible retirees to help pay for retiree medical coverage. Credits are held in separate accounts for the retiree and the eligible spouse/domestic partner.</w:t>
      </w:r>
    </w:p>
    <w:p w14:paraId="45C5D546" w14:textId="5193C801"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Usable for medical premiums only — not dental, vision, or Medicare premiums.</w:t>
      </w:r>
    </w:p>
    <w:p w14:paraId="3C190917" w14:textId="277E8788"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Unused credits roll over month to month and year to year.</w:t>
      </w:r>
    </w:p>
    <w:p w14:paraId="06391B3D" w14:textId="57D6B76B"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At ages 62–64 credits can accrue and apply to non-University retiree coverage; credits apply to Pitt plans starting at age 65.</w:t>
      </w:r>
    </w:p>
    <w:p w14:paraId="469D615D" w14:textId="1EAD023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Pre-65 retirees do NOT accrue DDB credits while enrolled in the University’s own </w:t>
      </w:r>
      <w:proofErr w:type="gramStart"/>
      <w:r w:rsidRPr="0016752A">
        <w:rPr>
          <w:rFonts w:ascii="Arial" w:hAnsi="Arial" w:cs="Arial"/>
          <w:color w:val="333333"/>
          <w:sz w:val="20"/>
        </w:rPr>
        <w:t>Pre-65</w:t>
      </w:r>
      <w:proofErr w:type="gramEnd"/>
      <w:r w:rsidRPr="0016752A">
        <w:rPr>
          <w:rFonts w:ascii="Arial" w:hAnsi="Arial" w:cs="Arial"/>
          <w:color w:val="333333"/>
          <w:sz w:val="20"/>
        </w:rPr>
        <w:t xml:space="preserve"> plan, or while enrolled in a spouse/partner’s active Pitt employee plan. Credits accrue only if you have coverage elsewhere.</w:t>
      </w:r>
    </w:p>
    <w:p w14:paraId="50B878F3" w14:textId="5004E0E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DDB credits are not taxable income.</w:t>
      </w:r>
    </w:p>
    <w:p w14:paraId="2223FF6F" w14:textId="5A0B0529"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Three ways to use your credits at 65+</w:t>
      </w:r>
    </w:p>
    <w:p w14:paraId="57767ECA" w14:textId="77EAF13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Apply credits toward the cost of a </w:t>
      </w:r>
      <w:proofErr w:type="gramStart"/>
      <w:r w:rsidRPr="0016752A">
        <w:rPr>
          <w:rFonts w:ascii="Arial" w:hAnsi="Arial" w:cs="Arial"/>
          <w:color w:val="333333"/>
          <w:sz w:val="20"/>
        </w:rPr>
        <w:t>University</w:t>
      </w:r>
      <w:proofErr w:type="gramEnd"/>
      <w:r w:rsidRPr="0016752A">
        <w:rPr>
          <w:rFonts w:ascii="Arial" w:hAnsi="Arial" w:cs="Arial"/>
          <w:color w:val="333333"/>
          <w:sz w:val="20"/>
        </w:rPr>
        <w:t>-sponsored post-65 retiree medical plan.</w:t>
      </w:r>
    </w:p>
    <w:p w14:paraId="7706CA48" w14:textId="2606D03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Apply credits toward retiree medical coverage obtained independently of the University; request monthly reimbursement from BMS. A DDB Reimbursement request (claim) form is required each calendar year from both the eligible retiree and the eligible spouse/domestic partner.</w:t>
      </w:r>
    </w:p>
    <w:p w14:paraId="1565560C" w14:textId="2AD8166C" w:rsidR="0039200B" w:rsidRPr="0016752A" w:rsidRDefault="0039200B" w:rsidP="5710C64A">
      <w:pPr>
        <w:pStyle w:val="ListBullet"/>
        <w:spacing w:before="40" w:after="40" w:line="250" w:lineRule="auto"/>
        <w:rPr>
          <w:rFonts w:ascii="Arial" w:hAnsi="Arial" w:cs="Arial"/>
          <w:color w:val="333333"/>
          <w:sz w:val="20"/>
          <w:szCs w:val="20"/>
        </w:rPr>
      </w:pPr>
      <w:r w:rsidRPr="0F9F5736">
        <w:rPr>
          <w:rFonts w:ascii="Arial" w:hAnsi="Arial" w:cs="Arial"/>
          <w:color w:val="333333"/>
          <w:sz w:val="20"/>
          <w:szCs w:val="20"/>
        </w:rPr>
        <w:t>Accrue credits for later use if you have comparable retiree-type coverage from another carrier, employer, or a spouse/domestic partner. DDB credits cannot pay for active group coverage through an employer.</w:t>
      </w:r>
    </w:p>
    <w:p w14:paraId="30C065E8" w14:textId="0D7E89AA" w:rsidR="0079154F" w:rsidRPr="0016752A" w:rsidRDefault="0079154F" w:rsidP="0F9F5736">
      <w:pPr>
        <w:pStyle w:val="Heading1"/>
        <w:pBdr>
          <w:bottom w:val="single" w:sz="4" w:space="1" w:color="FFB81C"/>
        </w:pBdr>
        <w:spacing w:after="120" w:line="320" w:lineRule="auto"/>
        <w:rPr>
          <w:rFonts w:ascii="Arial" w:hAnsi="Arial" w:cs="Arial"/>
          <w:b/>
          <w:bCs/>
          <w:color w:val="003594"/>
          <w:sz w:val="28"/>
          <w:szCs w:val="28"/>
        </w:rPr>
      </w:pPr>
      <w:r w:rsidRPr="0F9F5736">
        <w:rPr>
          <w:rFonts w:ascii="Arial" w:hAnsi="Arial" w:cs="Arial"/>
          <w:b/>
          <w:bCs/>
          <w:color w:val="003594"/>
          <w:sz w:val="28"/>
          <w:szCs w:val="28"/>
        </w:rPr>
        <w:t>9. 2026 Post-65 Medical Plans &amp; Monthly Costs</w:t>
      </w:r>
    </w:p>
    <w:p w14:paraId="1FC88459" w14:textId="60124826" w:rsidR="0039200B" w:rsidRPr="0016752A" w:rsidRDefault="0079154F" w:rsidP="0016752A">
      <w:pPr>
        <w:spacing w:before="60" w:after="60" w:line="250" w:lineRule="auto"/>
        <w:rPr>
          <w:rFonts w:ascii="Arial" w:hAnsi="Arial" w:cs="Arial"/>
          <w:color w:val="333333"/>
          <w:sz w:val="20"/>
        </w:rPr>
      </w:pPr>
      <w:r w:rsidRPr="0016752A">
        <w:rPr>
          <w:rFonts w:ascii="Arial" w:hAnsi="Arial" w:cs="Arial"/>
          <w:color w:val="333333"/>
          <w:sz w:val="20"/>
        </w:rPr>
        <w:t>Six options through UPMC Health Plan or Highmark. All include prescription drug coverage. Premiums are per person for the plan year January 1 – December 31, 2026; the $401/month DDB credit applies separately to each eligible retiree and spouse/domestic partner.</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620" w:firstRow="1" w:lastRow="0" w:firstColumn="0" w:lastColumn="0" w:noHBand="1" w:noVBand="1"/>
      </w:tblPr>
      <w:tblGrid>
        <w:gridCol w:w="2061"/>
        <w:gridCol w:w="1818"/>
        <w:gridCol w:w="1381"/>
        <w:gridCol w:w="1419"/>
        <w:gridCol w:w="3391"/>
      </w:tblGrid>
      <w:tr w:rsidR="0039200B" w:rsidRPr="0016752A" w14:paraId="78FA4A2F" w14:textId="77777777" w:rsidTr="0EC32285">
        <w:trPr>
          <w:tblHeader/>
        </w:trPr>
        <w:tc>
          <w:tcPr>
            <w:tcW w:w="2080" w:type="dxa"/>
            <w:shd w:val="clear" w:color="auto" w:fill="003594"/>
            <w:tcMar>
              <w:top w:w="60" w:type="dxa"/>
              <w:left w:w="120" w:type="dxa"/>
              <w:bottom w:w="60" w:type="dxa"/>
              <w:right w:w="120" w:type="dxa"/>
            </w:tcMar>
          </w:tcPr>
          <w:p w14:paraId="0AF7AB06" w14:textId="63CA88FF" w:rsidR="0039200B" w:rsidRPr="0016752A" w:rsidRDefault="0039200B" w:rsidP="0EC32285">
            <w:pPr>
              <w:spacing w:before="60" w:after="60" w:line="230" w:lineRule="auto"/>
              <w:rPr>
                <w:rFonts w:ascii="Arial" w:hAnsi="Arial" w:cs="Arial"/>
                <w:b/>
                <w:bCs/>
                <w:color w:val="FFFFFF"/>
                <w:sz w:val="19"/>
                <w:szCs w:val="19"/>
              </w:rPr>
            </w:pPr>
            <w:r w:rsidRPr="0EC32285">
              <w:rPr>
                <w:rFonts w:ascii="Arial" w:hAnsi="Arial" w:cs="Arial"/>
                <w:b/>
                <w:bCs/>
                <w:color w:val="FFFFFF" w:themeColor="background1"/>
                <w:sz w:val="19"/>
                <w:szCs w:val="19"/>
              </w:rPr>
              <w:lastRenderedPageBreak/>
              <w:t>Plan</w:t>
            </w:r>
          </w:p>
        </w:tc>
        <w:tc>
          <w:tcPr>
            <w:tcW w:w="1840" w:type="dxa"/>
            <w:shd w:val="clear" w:color="auto" w:fill="003594"/>
            <w:tcMar>
              <w:top w:w="60" w:type="dxa"/>
              <w:left w:w="120" w:type="dxa"/>
              <w:bottom w:w="60" w:type="dxa"/>
              <w:right w:w="120" w:type="dxa"/>
            </w:tcMar>
          </w:tcPr>
          <w:p w14:paraId="5A68CF0F" w14:textId="6BF67A92" w:rsidR="0039200B" w:rsidRPr="0016752A" w:rsidRDefault="0039200B" w:rsidP="0EC32285">
            <w:pPr>
              <w:spacing w:before="60" w:after="60" w:line="230" w:lineRule="auto"/>
              <w:rPr>
                <w:rFonts w:ascii="Arial" w:hAnsi="Arial" w:cs="Arial"/>
                <w:b/>
                <w:bCs/>
                <w:color w:val="FFFFFF"/>
                <w:sz w:val="19"/>
                <w:szCs w:val="19"/>
              </w:rPr>
            </w:pPr>
            <w:r w:rsidRPr="0EC32285">
              <w:rPr>
                <w:rFonts w:ascii="Arial" w:hAnsi="Arial" w:cs="Arial"/>
                <w:b/>
                <w:bCs/>
                <w:color w:val="FFFFFF" w:themeColor="background1"/>
                <w:sz w:val="19"/>
                <w:szCs w:val="19"/>
              </w:rPr>
              <w:t>Type / area</w:t>
            </w:r>
          </w:p>
        </w:tc>
        <w:tc>
          <w:tcPr>
            <w:tcW w:w="1240" w:type="dxa"/>
            <w:shd w:val="clear" w:color="auto" w:fill="003594"/>
            <w:tcMar>
              <w:top w:w="60" w:type="dxa"/>
              <w:left w:w="120" w:type="dxa"/>
              <w:bottom w:w="60" w:type="dxa"/>
              <w:right w:w="120" w:type="dxa"/>
            </w:tcMar>
          </w:tcPr>
          <w:p w14:paraId="01DC500A" w14:textId="69C92E5E" w:rsidR="0039200B" w:rsidRPr="0016752A" w:rsidRDefault="0039200B" w:rsidP="0EC32285">
            <w:pPr>
              <w:spacing w:before="60" w:after="60" w:line="230" w:lineRule="auto"/>
              <w:rPr>
                <w:rFonts w:ascii="Arial" w:hAnsi="Arial" w:cs="Arial"/>
                <w:b/>
                <w:bCs/>
                <w:color w:val="FFFFFF"/>
                <w:sz w:val="19"/>
                <w:szCs w:val="19"/>
              </w:rPr>
            </w:pPr>
            <w:r w:rsidRPr="0EC32285">
              <w:rPr>
                <w:rFonts w:ascii="Arial" w:hAnsi="Arial" w:cs="Arial"/>
                <w:b/>
                <w:bCs/>
                <w:color w:val="FFFFFF" w:themeColor="background1"/>
                <w:sz w:val="19"/>
                <w:szCs w:val="19"/>
              </w:rPr>
              <w:t>Total premium/mo</w:t>
            </w:r>
          </w:p>
        </w:tc>
        <w:tc>
          <w:tcPr>
            <w:tcW w:w="1440" w:type="dxa"/>
            <w:shd w:val="clear" w:color="auto" w:fill="003594"/>
            <w:tcMar>
              <w:top w:w="60" w:type="dxa"/>
              <w:left w:w="120" w:type="dxa"/>
              <w:bottom w:w="60" w:type="dxa"/>
              <w:right w:w="120" w:type="dxa"/>
            </w:tcMar>
          </w:tcPr>
          <w:p w14:paraId="7BF73E16" w14:textId="6604CBC0" w:rsidR="0039200B" w:rsidRPr="0016752A" w:rsidRDefault="0039200B" w:rsidP="0EC32285">
            <w:pPr>
              <w:spacing w:before="60" w:after="60" w:line="230" w:lineRule="auto"/>
              <w:rPr>
                <w:rFonts w:ascii="Arial" w:hAnsi="Arial" w:cs="Arial"/>
                <w:b/>
                <w:bCs/>
                <w:color w:val="FFFFFF"/>
                <w:sz w:val="19"/>
                <w:szCs w:val="19"/>
              </w:rPr>
            </w:pPr>
            <w:r w:rsidRPr="0EC32285">
              <w:rPr>
                <w:rFonts w:ascii="Arial" w:hAnsi="Arial" w:cs="Arial"/>
                <w:b/>
                <w:bCs/>
                <w:color w:val="FFFFFF" w:themeColor="background1"/>
                <w:sz w:val="19"/>
                <w:szCs w:val="19"/>
              </w:rPr>
              <w:t xml:space="preserve">Retiree </w:t>
            </w:r>
            <w:proofErr w:type="gramStart"/>
            <w:r w:rsidRPr="0EC32285">
              <w:rPr>
                <w:rFonts w:ascii="Arial" w:hAnsi="Arial" w:cs="Arial"/>
                <w:b/>
                <w:bCs/>
                <w:color w:val="FFFFFF" w:themeColor="background1"/>
                <w:sz w:val="19"/>
                <w:szCs w:val="19"/>
              </w:rPr>
              <w:t>pays</w:t>
            </w:r>
            <w:proofErr w:type="gramEnd"/>
            <w:r w:rsidRPr="0EC32285">
              <w:rPr>
                <w:rFonts w:ascii="Arial" w:hAnsi="Arial" w:cs="Arial"/>
                <w:b/>
                <w:bCs/>
                <w:color w:val="FFFFFF" w:themeColor="background1"/>
                <w:sz w:val="19"/>
                <w:szCs w:val="19"/>
              </w:rPr>
              <w:t xml:space="preserve"> after DDB</w:t>
            </w:r>
          </w:p>
        </w:tc>
        <w:tc>
          <w:tcPr>
            <w:tcW w:w="3480" w:type="dxa"/>
            <w:shd w:val="clear" w:color="auto" w:fill="003594"/>
            <w:tcMar>
              <w:top w:w="60" w:type="dxa"/>
              <w:left w:w="120" w:type="dxa"/>
              <w:bottom w:w="60" w:type="dxa"/>
              <w:right w:w="120" w:type="dxa"/>
            </w:tcMar>
          </w:tcPr>
          <w:p w14:paraId="5715C383" w14:textId="61096B66" w:rsidR="0039200B" w:rsidRPr="0016752A" w:rsidRDefault="0039200B" w:rsidP="0EC32285">
            <w:pPr>
              <w:spacing w:before="60" w:after="60" w:line="230" w:lineRule="auto"/>
              <w:rPr>
                <w:rFonts w:ascii="Arial" w:hAnsi="Arial" w:cs="Arial"/>
                <w:b/>
                <w:bCs/>
                <w:color w:val="FFFFFF"/>
                <w:sz w:val="19"/>
                <w:szCs w:val="19"/>
              </w:rPr>
            </w:pPr>
            <w:r w:rsidRPr="0EC32285">
              <w:rPr>
                <w:rFonts w:ascii="Arial" w:hAnsi="Arial" w:cs="Arial"/>
                <w:b/>
                <w:bCs/>
                <w:color w:val="FFFFFF" w:themeColor="background1"/>
                <w:sz w:val="19"/>
                <w:szCs w:val="19"/>
              </w:rPr>
              <w:t>Out-of-pocket notes</w:t>
            </w:r>
          </w:p>
        </w:tc>
      </w:tr>
      <w:tr w:rsidR="0039200B" w:rsidRPr="0016752A" w14:paraId="777CC3DD" w14:textId="77777777" w:rsidTr="0EC32285">
        <w:tc>
          <w:tcPr>
            <w:tcW w:w="2080" w:type="dxa"/>
            <w:shd w:val="clear" w:color="auto" w:fill="FFFFFF" w:themeFill="background1"/>
            <w:tcMar>
              <w:top w:w="60" w:type="dxa"/>
              <w:left w:w="120" w:type="dxa"/>
              <w:bottom w:w="60" w:type="dxa"/>
              <w:right w:w="120" w:type="dxa"/>
            </w:tcMar>
          </w:tcPr>
          <w:p w14:paraId="34FCE5DC" w14:textId="416A226A"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UPMC for Life HMO</w:t>
            </w:r>
          </w:p>
        </w:tc>
        <w:tc>
          <w:tcPr>
            <w:tcW w:w="1840" w:type="dxa"/>
            <w:shd w:val="clear" w:color="auto" w:fill="FFFFFF" w:themeFill="background1"/>
            <w:tcMar>
              <w:top w:w="60" w:type="dxa"/>
              <w:left w:w="120" w:type="dxa"/>
              <w:bottom w:w="60" w:type="dxa"/>
              <w:right w:w="120" w:type="dxa"/>
            </w:tcMar>
          </w:tcPr>
          <w:p w14:paraId="650AFB44" w14:textId="1FB707BD"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Advantage — Western PA</w:t>
            </w:r>
          </w:p>
        </w:tc>
        <w:tc>
          <w:tcPr>
            <w:tcW w:w="1240" w:type="dxa"/>
            <w:shd w:val="clear" w:color="auto" w:fill="FFFFFF" w:themeFill="background1"/>
            <w:tcMar>
              <w:top w:w="60" w:type="dxa"/>
              <w:left w:w="120" w:type="dxa"/>
              <w:bottom w:w="60" w:type="dxa"/>
              <w:right w:w="120" w:type="dxa"/>
            </w:tcMar>
          </w:tcPr>
          <w:p w14:paraId="71565171" w14:textId="4BB09F39"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$258.00</w:t>
            </w:r>
          </w:p>
        </w:tc>
        <w:tc>
          <w:tcPr>
            <w:tcW w:w="1440" w:type="dxa"/>
            <w:shd w:val="clear" w:color="auto" w:fill="FFFFFF" w:themeFill="background1"/>
            <w:tcMar>
              <w:top w:w="60" w:type="dxa"/>
              <w:left w:w="120" w:type="dxa"/>
              <w:bottom w:w="60" w:type="dxa"/>
              <w:right w:w="120" w:type="dxa"/>
            </w:tcMar>
          </w:tcPr>
          <w:p w14:paraId="177F51EA" w14:textId="51D9251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$0.00</w:t>
            </w:r>
          </w:p>
        </w:tc>
        <w:tc>
          <w:tcPr>
            <w:tcW w:w="3480" w:type="dxa"/>
            <w:shd w:val="clear" w:color="auto" w:fill="FFFFFF" w:themeFill="background1"/>
            <w:tcMar>
              <w:top w:w="60" w:type="dxa"/>
              <w:left w:w="120" w:type="dxa"/>
              <w:bottom w:w="60" w:type="dxa"/>
              <w:right w:w="120" w:type="dxa"/>
            </w:tcMar>
          </w:tcPr>
          <w:p w14:paraId="0A764D36" w14:textId="12701BCD"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No deductible; UPMC network only</w:t>
            </w:r>
          </w:p>
        </w:tc>
      </w:tr>
      <w:tr w:rsidR="0039200B" w:rsidRPr="0016752A" w14:paraId="4C30457F" w14:textId="77777777" w:rsidTr="0EC32285">
        <w:tc>
          <w:tcPr>
            <w:tcW w:w="2080" w:type="dxa"/>
            <w:shd w:val="clear" w:color="auto" w:fill="FFFFFF" w:themeFill="background1"/>
            <w:tcMar>
              <w:top w:w="60" w:type="dxa"/>
              <w:left w:w="120" w:type="dxa"/>
              <w:bottom w:w="60" w:type="dxa"/>
              <w:right w:w="120" w:type="dxa"/>
            </w:tcMar>
          </w:tcPr>
          <w:p w14:paraId="0872FEC8" w14:textId="71E74F67"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UPMC for Life PPO – Basic</w:t>
            </w:r>
          </w:p>
        </w:tc>
        <w:tc>
          <w:tcPr>
            <w:tcW w:w="1840" w:type="dxa"/>
            <w:shd w:val="clear" w:color="auto" w:fill="FFFFFF" w:themeFill="background1"/>
            <w:tcMar>
              <w:top w:w="60" w:type="dxa"/>
              <w:left w:w="120" w:type="dxa"/>
              <w:bottom w:w="60" w:type="dxa"/>
              <w:right w:w="120" w:type="dxa"/>
            </w:tcMar>
          </w:tcPr>
          <w:p w14:paraId="3EA4FE1F" w14:textId="51DE0AA4"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Advantage — Western PA</w:t>
            </w:r>
          </w:p>
        </w:tc>
        <w:tc>
          <w:tcPr>
            <w:tcW w:w="1240" w:type="dxa"/>
            <w:shd w:val="clear" w:color="auto" w:fill="FFFFFF" w:themeFill="background1"/>
            <w:tcMar>
              <w:top w:w="60" w:type="dxa"/>
              <w:left w:w="120" w:type="dxa"/>
              <w:bottom w:w="60" w:type="dxa"/>
              <w:right w:w="120" w:type="dxa"/>
            </w:tcMar>
          </w:tcPr>
          <w:p w14:paraId="5AB5BF54" w14:textId="4E4B28E4"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$271.00</w:t>
            </w:r>
          </w:p>
        </w:tc>
        <w:tc>
          <w:tcPr>
            <w:tcW w:w="1440" w:type="dxa"/>
            <w:shd w:val="clear" w:color="auto" w:fill="FFFFFF" w:themeFill="background1"/>
            <w:tcMar>
              <w:top w:w="60" w:type="dxa"/>
              <w:left w:w="120" w:type="dxa"/>
              <w:bottom w:w="60" w:type="dxa"/>
              <w:right w:w="120" w:type="dxa"/>
            </w:tcMar>
          </w:tcPr>
          <w:p w14:paraId="0979F214" w14:textId="346CA19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$0.00</w:t>
            </w:r>
          </w:p>
        </w:tc>
        <w:tc>
          <w:tcPr>
            <w:tcW w:w="3480" w:type="dxa"/>
            <w:shd w:val="clear" w:color="auto" w:fill="FFFFFF" w:themeFill="background1"/>
            <w:tcMar>
              <w:top w:w="60" w:type="dxa"/>
              <w:left w:w="120" w:type="dxa"/>
              <w:bottom w:w="60" w:type="dxa"/>
              <w:right w:w="120" w:type="dxa"/>
            </w:tcMar>
          </w:tcPr>
          <w:p w14:paraId="2648A6B5" w14:textId="467F49B6"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$250 in-network / $500 out-of-network deductible; $3,400 OOP max</w:t>
            </w:r>
          </w:p>
        </w:tc>
      </w:tr>
      <w:tr w:rsidR="0039200B" w:rsidRPr="0016752A" w14:paraId="35B4D1F8" w14:textId="77777777" w:rsidTr="0EC32285">
        <w:tc>
          <w:tcPr>
            <w:tcW w:w="2080" w:type="dxa"/>
            <w:shd w:val="clear" w:color="auto" w:fill="FFFFFF" w:themeFill="background1"/>
            <w:tcMar>
              <w:top w:w="60" w:type="dxa"/>
              <w:left w:w="120" w:type="dxa"/>
              <w:bottom w:w="60" w:type="dxa"/>
              <w:right w:w="120" w:type="dxa"/>
            </w:tcMar>
          </w:tcPr>
          <w:p w14:paraId="72E6E782" w14:textId="1C3BA5A2"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Highmark Freedom Blue PPO – Std</w:t>
            </w:r>
          </w:p>
        </w:tc>
        <w:tc>
          <w:tcPr>
            <w:tcW w:w="1840" w:type="dxa"/>
            <w:shd w:val="clear" w:color="auto" w:fill="FFFFFF" w:themeFill="background1"/>
            <w:tcMar>
              <w:top w:w="60" w:type="dxa"/>
              <w:left w:w="120" w:type="dxa"/>
              <w:bottom w:w="60" w:type="dxa"/>
              <w:right w:w="120" w:type="dxa"/>
            </w:tcMar>
          </w:tcPr>
          <w:p w14:paraId="1F4C6648" w14:textId="374DFB8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Advantage — PA / National</w:t>
            </w:r>
          </w:p>
        </w:tc>
        <w:tc>
          <w:tcPr>
            <w:tcW w:w="1240" w:type="dxa"/>
            <w:shd w:val="clear" w:color="auto" w:fill="FFFFFF" w:themeFill="background1"/>
            <w:tcMar>
              <w:top w:w="60" w:type="dxa"/>
              <w:left w:w="120" w:type="dxa"/>
              <w:bottom w:w="60" w:type="dxa"/>
              <w:right w:w="120" w:type="dxa"/>
            </w:tcMar>
          </w:tcPr>
          <w:p w14:paraId="50FC9BF7" w14:textId="45B6AB41"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$309.00</w:t>
            </w:r>
          </w:p>
        </w:tc>
        <w:tc>
          <w:tcPr>
            <w:tcW w:w="1440" w:type="dxa"/>
            <w:shd w:val="clear" w:color="auto" w:fill="FFFFFF" w:themeFill="background1"/>
            <w:tcMar>
              <w:top w:w="60" w:type="dxa"/>
              <w:left w:w="120" w:type="dxa"/>
              <w:bottom w:w="60" w:type="dxa"/>
              <w:right w:w="120" w:type="dxa"/>
            </w:tcMar>
          </w:tcPr>
          <w:p w14:paraId="05F83B56" w14:textId="0BD4AE37"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$0.00</w:t>
            </w:r>
          </w:p>
        </w:tc>
        <w:tc>
          <w:tcPr>
            <w:tcW w:w="3480" w:type="dxa"/>
            <w:shd w:val="clear" w:color="auto" w:fill="FFFFFF" w:themeFill="background1"/>
            <w:tcMar>
              <w:top w:w="60" w:type="dxa"/>
              <w:left w:w="120" w:type="dxa"/>
              <w:bottom w:w="60" w:type="dxa"/>
              <w:right w:w="120" w:type="dxa"/>
            </w:tcMar>
          </w:tcPr>
          <w:p w14:paraId="1F08F53C" w14:textId="792C2009"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No deductible; $3,400 in/out-of-network OOP max</w:t>
            </w:r>
          </w:p>
        </w:tc>
      </w:tr>
      <w:tr w:rsidR="0039200B" w:rsidRPr="0016752A" w14:paraId="6F3F3C4E" w14:textId="77777777" w:rsidTr="0EC32285">
        <w:tc>
          <w:tcPr>
            <w:tcW w:w="2080" w:type="dxa"/>
            <w:shd w:val="clear" w:color="auto" w:fill="FFFFFF" w:themeFill="background1"/>
            <w:tcMar>
              <w:top w:w="60" w:type="dxa"/>
              <w:left w:w="120" w:type="dxa"/>
              <w:bottom w:w="60" w:type="dxa"/>
              <w:right w:w="120" w:type="dxa"/>
            </w:tcMar>
          </w:tcPr>
          <w:p w14:paraId="74E7E265" w14:textId="2CD5F1FB"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UPMC for Life PPO – Standard</w:t>
            </w:r>
          </w:p>
        </w:tc>
        <w:tc>
          <w:tcPr>
            <w:tcW w:w="1840" w:type="dxa"/>
            <w:shd w:val="clear" w:color="auto" w:fill="FFFFFF" w:themeFill="background1"/>
            <w:tcMar>
              <w:top w:w="60" w:type="dxa"/>
              <w:left w:w="120" w:type="dxa"/>
              <w:bottom w:w="60" w:type="dxa"/>
              <w:right w:w="120" w:type="dxa"/>
            </w:tcMar>
          </w:tcPr>
          <w:p w14:paraId="7EE52B95" w14:textId="26B0F5A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Advantage — Western PA</w:t>
            </w:r>
          </w:p>
        </w:tc>
        <w:tc>
          <w:tcPr>
            <w:tcW w:w="1240" w:type="dxa"/>
            <w:shd w:val="clear" w:color="auto" w:fill="FFFFFF" w:themeFill="background1"/>
            <w:tcMar>
              <w:top w:w="60" w:type="dxa"/>
              <w:left w:w="120" w:type="dxa"/>
              <w:bottom w:w="60" w:type="dxa"/>
              <w:right w:w="120" w:type="dxa"/>
            </w:tcMar>
          </w:tcPr>
          <w:p w14:paraId="38C5ECBD" w14:textId="6DCC44AE"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$314.00</w:t>
            </w:r>
          </w:p>
        </w:tc>
        <w:tc>
          <w:tcPr>
            <w:tcW w:w="1440" w:type="dxa"/>
            <w:shd w:val="clear" w:color="auto" w:fill="FFFFFF" w:themeFill="background1"/>
            <w:tcMar>
              <w:top w:w="60" w:type="dxa"/>
              <w:left w:w="120" w:type="dxa"/>
              <w:bottom w:w="60" w:type="dxa"/>
              <w:right w:w="120" w:type="dxa"/>
            </w:tcMar>
          </w:tcPr>
          <w:p w14:paraId="1C17E102" w14:textId="5073B894"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$0.00</w:t>
            </w:r>
          </w:p>
        </w:tc>
        <w:tc>
          <w:tcPr>
            <w:tcW w:w="3480" w:type="dxa"/>
            <w:shd w:val="clear" w:color="auto" w:fill="FFFFFF" w:themeFill="background1"/>
            <w:tcMar>
              <w:top w:w="60" w:type="dxa"/>
              <w:left w:w="120" w:type="dxa"/>
              <w:bottom w:w="60" w:type="dxa"/>
              <w:right w:w="120" w:type="dxa"/>
            </w:tcMar>
          </w:tcPr>
          <w:p w14:paraId="5B1FD51A" w14:textId="027CD8DD"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$500 out-of-network deductible; $5,100 combined OOP max</w:t>
            </w:r>
          </w:p>
        </w:tc>
      </w:tr>
      <w:tr w:rsidR="0039200B" w:rsidRPr="0016752A" w14:paraId="15763925" w14:textId="77777777" w:rsidTr="0EC32285">
        <w:tc>
          <w:tcPr>
            <w:tcW w:w="2080" w:type="dxa"/>
            <w:shd w:val="clear" w:color="auto" w:fill="FFFFFF" w:themeFill="background1"/>
            <w:tcMar>
              <w:top w:w="60" w:type="dxa"/>
              <w:left w:w="120" w:type="dxa"/>
              <w:bottom w:w="60" w:type="dxa"/>
              <w:right w:w="120" w:type="dxa"/>
            </w:tcMar>
          </w:tcPr>
          <w:p w14:paraId="67F971D2" w14:textId="0A985AA0"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UPMC National Complementary</w:t>
            </w:r>
          </w:p>
        </w:tc>
        <w:tc>
          <w:tcPr>
            <w:tcW w:w="1840" w:type="dxa"/>
            <w:shd w:val="clear" w:color="auto" w:fill="FFFFFF" w:themeFill="background1"/>
            <w:tcMar>
              <w:top w:w="60" w:type="dxa"/>
              <w:left w:w="120" w:type="dxa"/>
              <w:bottom w:w="60" w:type="dxa"/>
              <w:right w:w="120" w:type="dxa"/>
            </w:tcMar>
          </w:tcPr>
          <w:p w14:paraId="67907E4C" w14:textId="11D9526B"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Supplement — PA / National</w:t>
            </w:r>
          </w:p>
        </w:tc>
        <w:tc>
          <w:tcPr>
            <w:tcW w:w="1240" w:type="dxa"/>
            <w:shd w:val="clear" w:color="auto" w:fill="FFFFFF" w:themeFill="background1"/>
            <w:tcMar>
              <w:top w:w="60" w:type="dxa"/>
              <w:left w:w="120" w:type="dxa"/>
              <w:bottom w:w="60" w:type="dxa"/>
              <w:right w:w="120" w:type="dxa"/>
            </w:tcMar>
          </w:tcPr>
          <w:p w14:paraId="2D4A10DD" w14:textId="593B965F"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$412.00</w:t>
            </w:r>
          </w:p>
        </w:tc>
        <w:tc>
          <w:tcPr>
            <w:tcW w:w="1440" w:type="dxa"/>
            <w:shd w:val="clear" w:color="auto" w:fill="FFFFFF" w:themeFill="background1"/>
            <w:tcMar>
              <w:top w:w="60" w:type="dxa"/>
              <w:left w:w="120" w:type="dxa"/>
              <w:bottom w:w="60" w:type="dxa"/>
              <w:right w:w="120" w:type="dxa"/>
            </w:tcMar>
          </w:tcPr>
          <w:p w14:paraId="0D75AD4E" w14:textId="5E049E5A"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$11.00</w:t>
            </w:r>
          </w:p>
        </w:tc>
        <w:tc>
          <w:tcPr>
            <w:tcW w:w="3480" w:type="dxa"/>
            <w:shd w:val="clear" w:color="auto" w:fill="FFFFFF" w:themeFill="background1"/>
            <w:tcMar>
              <w:top w:w="60" w:type="dxa"/>
              <w:left w:w="120" w:type="dxa"/>
              <w:bottom w:w="60" w:type="dxa"/>
              <w:right w:w="120" w:type="dxa"/>
            </w:tcMar>
          </w:tcPr>
          <w:p w14:paraId="76863398" w14:textId="723BD12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Covers Medicare gaps; any Medicare provider</w:t>
            </w:r>
          </w:p>
        </w:tc>
      </w:tr>
      <w:tr w:rsidR="0039200B" w:rsidRPr="0016752A" w14:paraId="762E283C" w14:textId="77777777" w:rsidTr="0EC32285">
        <w:tc>
          <w:tcPr>
            <w:tcW w:w="2080" w:type="dxa"/>
            <w:shd w:val="clear" w:color="auto" w:fill="FFFFFF" w:themeFill="background1"/>
            <w:tcMar>
              <w:top w:w="60" w:type="dxa"/>
              <w:left w:w="120" w:type="dxa"/>
              <w:bottom w:w="60" w:type="dxa"/>
              <w:right w:w="120" w:type="dxa"/>
            </w:tcMar>
          </w:tcPr>
          <w:p w14:paraId="737AFBB5" w14:textId="7BD321E0"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Highmark Signature 65</w:t>
            </w:r>
          </w:p>
        </w:tc>
        <w:tc>
          <w:tcPr>
            <w:tcW w:w="1840" w:type="dxa"/>
            <w:shd w:val="clear" w:color="auto" w:fill="FFFFFF" w:themeFill="background1"/>
            <w:tcMar>
              <w:top w:w="60" w:type="dxa"/>
              <w:left w:w="120" w:type="dxa"/>
              <w:bottom w:w="60" w:type="dxa"/>
              <w:right w:w="120" w:type="dxa"/>
            </w:tcMar>
          </w:tcPr>
          <w:p w14:paraId="50174298" w14:textId="6DC77972"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Supplement — PA / National</w:t>
            </w:r>
          </w:p>
        </w:tc>
        <w:tc>
          <w:tcPr>
            <w:tcW w:w="1240" w:type="dxa"/>
            <w:shd w:val="clear" w:color="auto" w:fill="FFFFFF" w:themeFill="background1"/>
            <w:tcMar>
              <w:top w:w="60" w:type="dxa"/>
              <w:left w:w="120" w:type="dxa"/>
              <w:bottom w:w="60" w:type="dxa"/>
              <w:right w:w="120" w:type="dxa"/>
            </w:tcMar>
          </w:tcPr>
          <w:p w14:paraId="2762942B" w14:textId="188AF9FC"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$440.58</w:t>
            </w:r>
          </w:p>
        </w:tc>
        <w:tc>
          <w:tcPr>
            <w:tcW w:w="1440" w:type="dxa"/>
            <w:shd w:val="clear" w:color="auto" w:fill="FFFFFF" w:themeFill="background1"/>
            <w:tcMar>
              <w:top w:w="60" w:type="dxa"/>
              <w:left w:w="120" w:type="dxa"/>
              <w:bottom w:w="60" w:type="dxa"/>
              <w:right w:w="120" w:type="dxa"/>
            </w:tcMar>
          </w:tcPr>
          <w:p w14:paraId="0BDAEC06" w14:textId="26A4FDDB"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$39.58</w:t>
            </w:r>
          </w:p>
        </w:tc>
        <w:tc>
          <w:tcPr>
            <w:tcW w:w="3480" w:type="dxa"/>
            <w:shd w:val="clear" w:color="auto" w:fill="FFFFFF" w:themeFill="background1"/>
            <w:tcMar>
              <w:top w:w="60" w:type="dxa"/>
              <w:left w:w="120" w:type="dxa"/>
              <w:bottom w:w="60" w:type="dxa"/>
              <w:right w:w="120" w:type="dxa"/>
            </w:tcMar>
          </w:tcPr>
          <w:p w14:paraId="689D50B5" w14:textId="22AB9513" w:rsidR="0039200B" w:rsidRPr="0016752A" w:rsidRDefault="0039200B" w:rsidP="0EC32285">
            <w:pPr>
              <w:spacing w:before="60" w:after="60" w:line="230" w:lineRule="auto"/>
              <w:rPr>
                <w:rFonts w:ascii="Arial" w:hAnsi="Arial" w:cs="Arial"/>
                <w:color w:val="333333"/>
                <w:sz w:val="19"/>
                <w:szCs w:val="19"/>
              </w:rPr>
            </w:pPr>
            <w:r w:rsidRPr="0EC32285">
              <w:rPr>
                <w:rFonts w:ascii="Arial" w:hAnsi="Arial" w:cs="Arial"/>
                <w:color w:val="333333"/>
                <w:sz w:val="19"/>
                <w:szCs w:val="19"/>
              </w:rPr>
              <w:t>Covers Medicare gaps; any Medicare provider</w:t>
            </w:r>
          </w:p>
        </w:tc>
      </w:tr>
    </w:tbl>
    <w:p w14:paraId="291FD87F" w14:textId="77777777" w:rsidR="0039200B" w:rsidRPr="0016752A" w:rsidRDefault="0039200B" w:rsidP="0016752A">
      <w:pPr>
        <w:spacing w:before="60" w:after="60" w:line="250" w:lineRule="auto"/>
        <w:rPr>
          <w:rFonts w:ascii="Arial" w:hAnsi="Arial" w:cs="Arial"/>
          <w:color w:val="333333"/>
          <w:sz w:val="20"/>
        </w:rPr>
      </w:pPr>
    </w:p>
    <w:p w14:paraId="51AF17FA" w14:textId="0285124C" w:rsidR="0039200B" w:rsidRPr="0016752A" w:rsidRDefault="0039200B" w:rsidP="0EC32285">
      <w:pPr>
        <w:spacing w:before="60" w:after="60" w:line="230" w:lineRule="auto"/>
        <w:rPr>
          <w:rFonts w:ascii="Arial" w:hAnsi="Arial" w:cs="Arial"/>
          <w:color w:val="333333"/>
          <w:sz w:val="20"/>
          <w:szCs w:val="20"/>
        </w:rPr>
      </w:pPr>
      <w:r w:rsidRPr="0EC32285">
        <w:rPr>
          <w:rFonts w:ascii="Arial" w:hAnsi="Arial" w:cs="Arial"/>
          <w:color w:val="333333"/>
          <w:sz w:val="20"/>
          <w:szCs w:val="20"/>
        </w:rPr>
        <w:t>Unused DDB credits accrue month to month and year to year. A separate “old plan” cost column shown in the deck (University contribution split 65/35 for National Complementary and Signature 65) applies only to those who retired prior to 7/1/2004 and is N/A for current retirees.</w:t>
      </w:r>
    </w:p>
    <w:p w14:paraId="2BE0279A" w14:textId="515BFF1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Some post-65 retiree medical plans include basic dental and vision; certain plans also include </w:t>
      </w:r>
      <w:proofErr w:type="spellStart"/>
      <w:r w:rsidRPr="0016752A">
        <w:rPr>
          <w:rFonts w:ascii="Arial" w:hAnsi="Arial" w:cs="Arial"/>
          <w:color w:val="333333"/>
          <w:sz w:val="20"/>
        </w:rPr>
        <w:t>SilverSneakers</w:t>
      </w:r>
      <w:proofErr w:type="spellEnd"/>
      <w:r w:rsidRPr="0016752A">
        <w:rPr>
          <w:rFonts w:ascii="Arial" w:hAnsi="Arial" w:cs="Arial"/>
          <w:color w:val="333333"/>
          <w:sz w:val="20"/>
        </w:rPr>
        <w:t xml:space="preserve"> fitness at little or no cost.</w:t>
      </w:r>
    </w:p>
    <w:p w14:paraId="600F8731" w14:textId="0E9CDA3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Prescription cost schedules are published in two versions — a Standard network (broader retail network, higher copays) and a Preferred network (lower copays). Retail prescriptions are generally filled for a one-month supply, though the exact number of days varies by each plan’s filing with the applicable state regulator.</w:t>
      </w:r>
    </w:p>
    <w:p w14:paraId="15944EE6" w14:textId="75A38C44"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Full plan details are in the 2026 plan year post-65 medical options comparison grid and plan comparison guide at hr.pitt.edu/retirees.</w:t>
      </w:r>
    </w:p>
    <w:p w14:paraId="73B1CFC0" w14:textId="5B773ED8" w:rsidR="0039200B" w:rsidRPr="0016752A" w:rsidRDefault="0039200B" w:rsidP="0EC32285">
      <w:pPr>
        <w:spacing w:before="60" w:after="60" w:line="230" w:lineRule="auto"/>
        <w:rPr>
          <w:rFonts w:ascii="Arial" w:hAnsi="Arial" w:cs="Arial"/>
          <w:color w:val="333333"/>
          <w:sz w:val="20"/>
          <w:szCs w:val="20"/>
        </w:rPr>
      </w:pPr>
      <w:r w:rsidRPr="0EC32285">
        <w:rPr>
          <w:rFonts w:ascii="Arial" w:hAnsi="Arial" w:cs="Arial"/>
          <w:color w:val="333333"/>
          <w:sz w:val="20"/>
          <w:szCs w:val="20"/>
        </w:rPr>
        <w:t>Not captured here: the deck’s detailed side-by-side comparison grids (slides 29–31) and the Standard/Preferred prescription drug cost schedules (slides 32–33) appear as images or linked documents rather than readable text, so their individual copays and tier amounts could not be reproduced. Use the online comparison grid for those figures.</w:t>
      </w:r>
    </w:p>
    <w:p w14:paraId="1D714740" w14:textId="102C583E" w:rsidR="00415037" w:rsidRPr="0016752A" w:rsidRDefault="00415037" w:rsidP="0AB2AC2E">
      <w:pPr>
        <w:pStyle w:val="Heading1"/>
        <w:pBdr>
          <w:bottom w:val="single" w:sz="4" w:space="1" w:color="FFB81C"/>
        </w:pBdr>
        <w:spacing w:after="120" w:line="320" w:lineRule="auto"/>
        <w:rPr>
          <w:rFonts w:ascii="Arial" w:hAnsi="Arial" w:cs="Arial"/>
          <w:b/>
          <w:bCs/>
          <w:color w:val="003594"/>
          <w:sz w:val="28"/>
          <w:szCs w:val="28"/>
        </w:rPr>
      </w:pPr>
      <w:r w:rsidRPr="0AB2AC2E">
        <w:rPr>
          <w:rFonts w:ascii="Arial" w:hAnsi="Arial" w:cs="Arial"/>
          <w:b/>
          <w:bCs/>
          <w:color w:val="003594"/>
          <w:sz w:val="28"/>
          <w:szCs w:val="28"/>
        </w:rPr>
        <w:t>10. Dental, Vision, and Your FSA/HSA</w:t>
      </w:r>
    </w:p>
    <w:p w14:paraId="4EC5D499" w14:textId="1DC71414" w:rsidR="0039200B" w:rsidRPr="0016752A" w:rsidRDefault="00415037" w:rsidP="0F9F5736">
      <w:pPr>
        <w:spacing w:before="60" w:after="60" w:line="250" w:lineRule="auto"/>
        <w:rPr>
          <w:rFonts w:ascii="Arial" w:hAnsi="Arial" w:cs="Arial"/>
          <w:color w:val="333333"/>
          <w:sz w:val="20"/>
          <w:szCs w:val="20"/>
        </w:rPr>
      </w:pPr>
      <w:r w:rsidRPr="0EC32285">
        <w:rPr>
          <w:rFonts w:ascii="Arial" w:hAnsi="Arial" w:cs="Arial"/>
          <w:color w:val="333333"/>
          <w:sz w:val="20"/>
          <w:szCs w:val="20"/>
        </w:rPr>
        <w:t xml:space="preserve">Dental and vision are optional and purchased separately. DDB </w:t>
      </w:r>
      <w:proofErr w:type="gramStart"/>
      <w:r w:rsidRPr="0EC32285">
        <w:rPr>
          <w:rFonts w:ascii="Arial" w:hAnsi="Arial" w:cs="Arial"/>
          <w:color w:val="333333"/>
          <w:sz w:val="20"/>
          <w:szCs w:val="20"/>
        </w:rPr>
        <w:t>credits</w:t>
      </w:r>
      <w:proofErr w:type="gramEnd"/>
      <w:r w:rsidRPr="0EC32285">
        <w:rPr>
          <w:rFonts w:ascii="Arial" w:hAnsi="Arial" w:cs="Arial"/>
          <w:color w:val="333333"/>
          <w:sz w:val="20"/>
          <w:szCs w:val="20"/>
        </w:rPr>
        <w:t xml:space="preserve"> CANNOT be used for dental or vision premiums.</w:t>
      </w:r>
    </w:p>
    <w:p w14:paraId="48571DC7" w14:textId="511E3787"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Dental — United Concordia, $22.87/month</w:t>
      </w:r>
    </w:p>
    <w:p w14:paraId="6AF19B11" w14:textId="51D6DBC1"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Diagnostic/preventive: 100% in-network and out-of-network. Basic services: 80% in- and out-of-network (includes periodontal maintenance). Major services: 50% for non-surgical periodontics, in- and out-of-network.</w:t>
      </w:r>
    </w:p>
    <w:p w14:paraId="713C7A7C" w14:textId="3833DD8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Annual deductible $50 in-network / $150 out-of-network. Annual maximum $1,000 per person (Class I excluded).</w:t>
      </w:r>
    </w:p>
    <w:p w14:paraId="11507836" w14:textId="57206F61"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2026 enhancements: basic services 70% → 80%; major services (non-surgical periodontics) 40% → 50%; annual maximum $750 → $1,000; slight increases in monthly premiums and annual deductibles.</w:t>
      </w:r>
    </w:p>
    <w:p w14:paraId="336EE8CA" w14:textId="40E54C5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Find a provider: unitedconcordia.com (Elite Prime </w:t>
      </w:r>
      <w:proofErr w:type="gramStart"/>
      <w:r w:rsidRPr="0016752A">
        <w:rPr>
          <w:rFonts w:ascii="Arial" w:hAnsi="Arial" w:cs="Arial"/>
          <w:color w:val="333333"/>
          <w:sz w:val="20"/>
        </w:rPr>
        <w:t>network) •</w:t>
      </w:r>
      <w:proofErr w:type="gramEnd"/>
      <w:r w:rsidRPr="0016752A">
        <w:rPr>
          <w:rFonts w:ascii="Arial" w:hAnsi="Arial" w:cs="Arial"/>
          <w:color w:val="333333"/>
          <w:sz w:val="20"/>
        </w:rPr>
        <w:t xml:space="preserve"> 1-877-215-3616.</w:t>
      </w:r>
    </w:p>
    <w:p w14:paraId="22F02EE2" w14:textId="73434EEB"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Vision — Davis Vision by MetLife, $7.98/month</w:t>
      </w:r>
    </w:p>
    <w:p w14:paraId="03E08D5E" w14:textId="589BF57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Eye exam covered in full annually in-network; up to $30 out-of-network. Eyeglass lenses covered in full every 12 months in-network.</w:t>
      </w:r>
    </w:p>
    <w:p w14:paraId="5B39EFBE" w14:textId="58AF251D"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lastRenderedPageBreak/>
        <w:t>Frames: up to $80 every 12 months; at Visionworks, a $130 allowance plus 20% off.</w:t>
      </w:r>
    </w:p>
    <w:p w14:paraId="08704D7E" w14:textId="57597EE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Contacts: fitting covered in full; up to $75 for contacts in-network. Medically necessary contacts covered in full; up to $225 out-of-network.</w:t>
      </w:r>
    </w:p>
    <w:p w14:paraId="1C87B18A" w14:textId="1CB2C94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Out-of-network lens allowances: single vision $25, bifocal $35, trifocal $45, lenticular $60.</w:t>
      </w:r>
    </w:p>
    <w:p w14:paraId="7558126E" w14:textId="4EC80CD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Contact: 1-833-393-5433 • metlife.com/</w:t>
      </w:r>
      <w:proofErr w:type="spellStart"/>
      <w:r w:rsidRPr="0016752A">
        <w:rPr>
          <w:rFonts w:ascii="Arial" w:hAnsi="Arial" w:cs="Arial"/>
          <w:color w:val="333333"/>
          <w:sz w:val="20"/>
        </w:rPr>
        <w:t>mybenefits</w:t>
      </w:r>
      <w:proofErr w:type="spellEnd"/>
      <w:r w:rsidRPr="0016752A">
        <w:rPr>
          <w:rFonts w:ascii="Arial" w:hAnsi="Arial" w:cs="Arial"/>
          <w:color w:val="333333"/>
          <w:sz w:val="20"/>
        </w:rPr>
        <w:t>.</w:t>
      </w:r>
    </w:p>
    <w:p w14:paraId="1F3F361F" w14:textId="570C0C9E"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FSA vs. HSA at retirement</w:t>
      </w:r>
    </w:p>
    <w:p w14:paraId="13B69858" w14:textId="02BC7EA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FSA — ends at the end of the month in which you separate; it does not carry into retirement. You may submit claims for expenses incurred on or before your active coverage termination date (for example, if you terminate November 5, coverage runs through November 30; you cannot use it for new expenses starting in December). File outstanding claims within 180 days. Medicare enrollment has no direct impact on an FSA — participation ends at termination regardless of Medicare timing; an FSA remains usable while you are actively working even if enrolled in Part A.</w:t>
      </w:r>
    </w:p>
    <w:p w14:paraId="7076BB32" w14:textId="3B63905B" w:rsidR="0039200B" w:rsidRPr="0016752A" w:rsidRDefault="5A6FA58F" w:rsidP="7FEF9175">
      <w:pPr>
        <w:pStyle w:val="ListBullet"/>
        <w:spacing w:before="40" w:after="40" w:line="250" w:lineRule="auto"/>
        <w:rPr>
          <w:rFonts w:ascii="Arial" w:hAnsi="Arial" w:cs="Arial"/>
          <w:color w:val="333333"/>
          <w:sz w:val="20"/>
          <w:szCs w:val="20"/>
        </w:rPr>
      </w:pPr>
      <w:r w:rsidRPr="7FEF9175">
        <w:rPr>
          <w:rFonts w:ascii="Arial" w:hAnsi="Arial" w:cs="Arial"/>
          <w:color w:val="333333"/>
          <w:sz w:val="20"/>
          <w:szCs w:val="20"/>
        </w:rPr>
        <w:t>HSA — Pitt payroll contributions stop, but the account is yours to keep and use for qualified medical expenses until depleted. Once you enroll in Medicare, new contributions are no longer allowed, though existing funds remain usable.</w:t>
      </w:r>
    </w:p>
    <w:p w14:paraId="4543298D" w14:textId="00D9A77A" w:rsidR="00BB4211" w:rsidRPr="0016752A" w:rsidRDefault="00BB4211" w:rsidP="7FEF9175">
      <w:pPr>
        <w:pStyle w:val="Heading1"/>
        <w:pBdr>
          <w:bottom w:val="single" w:sz="4" w:space="1" w:color="FFB81C"/>
        </w:pBdr>
        <w:spacing w:after="120" w:line="320" w:lineRule="auto"/>
        <w:rPr>
          <w:rFonts w:ascii="Arial" w:hAnsi="Arial" w:cs="Arial"/>
          <w:b/>
          <w:bCs/>
          <w:color w:val="003594"/>
          <w:sz w:val="28"/>
          <w:szCs w:val="28"/>
        </w:rPr>
      </w:pPr>
      <w:r w:rsidRPr="7FEF9175">
        <w:rPr>
          <w:rFonts w:ascii="Arial" w:hAnsi="Arial" w:cs="Arial"/>
          <w:b/>
          <w:bCs/>
          <w:color w:val="003594"/>
          <w:sz w:val="28"/>
          <w:szCs w:val="28"/>
        </w:rPr>
        <w:t>11. Life &amp; AD&amp;D Insurance in Retirement</w:t>
      </w:r>
    </w:p>
    <w:p w14:paraId="10ADDF3A" w14:textId="3C9DD220" w:rsidR="0039200B" w:rsidRPr="0016752A" w:rsidRDefault="00BB4211"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Basic life insurance: University-provided group life at no cost — $1,500 for each year of service, up to a $15,000 maximum. Service under 10 years is prorated at $1,500 per year (less than 1 year = $0; 1 year = $1,500; 5 years = $7,500; 9 years = $13,500; 10 years and over = $15,000).</w:t>
      </w:r>
    </w:p>
    <w:p w14:paraId="676D7F74" w14:textId="42D8E4B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Optional life insurance: you may “port” or “convert” coverage and continue at group rates by completing the Portability/Conversion form included in your Retirement Enrollment Packet. No medical underwriting required; return forms to the active life insurance carrier.</w:t>
      </w:r>
    </w:p>
    <w:p w14:paraId="59E979AC" w14:textId="6CED9FA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Basic AD&amp;D: University-provided coverage discontinues at retirement.</w:t>
      </w:r>
    </w:p>
    <w:p w14:paraId="3D7F26F4" w14:textId="52063A47"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Basic and Optional AD&amp;D may be converted to individual policies. Premiums are individual customary rates (not group term), based on the same class age and risk; individual policies build cash value.</w:t>
      </w:r>
    </w:p>
    <w:p w14:paraId="35C8A1D3" w14:textId="6CF4F2DE"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A spouse </w:t>
      </w:r>
      <w:proofErr w:type="gramStart"/>
      <w:r w:rsidRPr="0016752A">
        <w:rPr>
          <w:rFonts w:ascii="Arial" w:hAnsi="Arial" w:cs="Arial"/>
          <w:color w:val="333333"/>
          <w:sz w:val="20"/>
        </w:rPr>
        <w:t>is able to</w:t>
      </w:r>
      <w:proofErr w:type="gramEnd"/>
      <w:r w:rsidRPr="0016752A">
        <w:rPr>
          <w:rFonts w:ascii="Arial" w:hAnsi="Arial" w:cs="Arial"/>
          <w:color w:val="333333"/>
          <w:sz w:val="20"/>
        </w:rPr>
        <w:t xml:space="preserve"> port and convert their life insurance policy after your retirement.</w:t>
      </w:r>
    </w:p>
    <w:p w14:paraId="46C8D8B5" w14:textId="222E5FD6"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Carrier change effective July 1, 2026 — The Hartford → Securian Financial</w:t>
      </w:r>
    </w:p>
    <w:p w14:paraId="1760ED22" w14:textId="7C75F383" w:rsidR="0039200B" w:rsidRPr="0016752A" w:rsidRDefault="0039200B" w:rsidP="0016752A">
      <w:pPr>
        <w:spacing w:before="60" w:after="60" w:line="250" w:lineRule="auto"/>
        <w:rPr>
          <w:rFonts w:ascii="Arial" w:hAnsi="Arial" w:cs="Arial"/>
          <w:color w:val="333333"/>
          <w:sz w:val="20"/>
        </w:rPr>
      </w:pPr>
      <w:r w:rsidRPr="0016752A">
        <w:rPr>
          <w:rFonts w:ascii="Arial" w:hAnsi="Arial" w:cs="Arial"/>
          <w:color w:val="333333"/>
          <w:sz w:val="20"/>
        </w:rPr>
        <w:t>Coverage continues without interruption; only the administrator changes.</w:t>
      </w:r>
    </w:p>
    <w:p w14:paraId="646ACE0B" w14:textId="7FD723E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The Hartford — coverage through 6/30/2026; use for events on or before 6/30/2026, including claims and portability/conversion forms. Initiate a claim 1-888-755-1503 • coverage/beneficiary 1-855-396-7655 • portability/conversion 1-877-320-0484 • enroll.thehartfordatwork.com/</w:t>
      </w:r>
      <w:proofErr w:type="spellStart"/>
      <w:r w:rsidRPr="0016752A">
        <w:rPr>
          <w:rFonts w:ascii="Arial" w:hAnsi="Arial" w:cs="Arial"/>
          <w:color w:val="333333"/>
          <w:sz w:val="20"/>
        </w:rPr>
        <w:t>upittbene</w:t>
      </w:r>
      <w:proofErr w:type="spellEnd"/>
      <w:r w:rsidRPr="0016752A">
        <w:rPr>
          <w:rFonts w:ascii="Arial" w:hAnsi="Arial" w:cs="Arial"/>
          <w:color w:val="333333"/>
          <w:sz w:val="20"/>
        </w:rPr>
        <w:t>.</w:t>
      </w:r>
    </w:p>
    <w:p w14:paraId="388E4DE8" w14:textId="75D59866"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Securian Financial — coverage starting 7/1/2026; use for events on or after 7/1/2026, including claims, beneficiary updates, and portability. Initiate/check a claim 1-888-658-0193 • coverage/beneficiary 1-877-491-5265 • portability/conversion 1-833-365-0326 • securian.com/pitt-insurance.</w:t>
      </w:r>
    </w:p>
    <w:p w14:paraId="4170BD24" w14:textId="6457A990" w:rsidR="0039200B" w:rsidRPr="0016752A" w:rsidRDefault="7E462AF2" w:rsidP="66E8F69A">
      <w:pPr>
        <w:pStyle w:val="ListBullet"/>
        <w:spacing w:before="40" w:after="40" w:line="250" w:lineRule="auto"/>
        <w:rPr>
          <w:rFonts w:ascii="Arial" w:hAnsi="Arial" w:cs="Arial"/>
          <w:color w:val="333333"/>
          <w:sz w:val="20"/>
          <w:szCs w:val="20"/>
        </w:rPr>
      </w:pPr>
      <w:r w:rsidRPr="66E8F69A">
        <w:rPr>
          <w:rFonts w:ascii="Arial" w:hAnsi="Arial" w:cs="Arial"/>
          <w:color w:val="333333"/>
          <w:sz w:val="20"/>
          <w:szCs w:val="20"/>
        </w:rPr>
        <w:t>What to do: verify your current beneficiary designation with The Hartford (designations carry over to Securian automatically as of 7/1/26</w:t>
      </w:r>
      <w:proofErr w:type="gramStart"/>
      <w:r w:rsidRPr="66E8F69A">
        <w:rPr>
          <w:rFonts w:ascii="Arial" w:hAnsi="Arial" w:cs="Arial"/>
          <w:color w:val="333333"/>
          <w:sz w:val="20"/>
          <w:szCs w:val="20"/>
        </w:rPr>
        <w:t>), and</w:t>
      </w:r>
      <w:proofErr w:type="gramEnd"/>
      <w:r w:rsidRPr="66E8F69A">
        <w:rPr>
          <w:rFonts w:ascii="Arial" w:hAnsi="Arial" w:cs="Arial"/>
          <w:color w:val="333333"/>
          <w:sz w:val="20"/>
          <w:szCs w:val="20"/>
        </w:rPr>
        <w:t xml:space="preserve"> share carrier information with family members — which carrier to call depends on the date of passing.</w:t>
      </w:r>
    </w:p>
    <w:p w14:paraId="5988182C" w14:textId="7F01011A" w:rsidR="001A7B9F" w:rsidRPr="0016752A" w:rsidRDefault="001A7B9F" w:rsidP="66E8F69A">
      <w:pPr>
        <w:pStyle w:val="Heading1"/>
        <w:pBdr>
          <w:bottom w:val="single" w:sz="4" w:space="1" w:color="FFB81C"/>
        </w:pBdr>
        <w:spacing w:after="120" w:line="320" w:lineRule="auto"/>
        <w:rPr>
          <w:rFonts w:ascii="Arial" w:hAnsi="Arial" w:cs="Arial"/>
          <w:b/>
          <w:bCs/>
          <w:color w:val="003594"/>
          <w:sz w:val="28"/>
          <w:szCs w:val="28"/>
        </w:rPr>
      </w:pPr>
      <w:r w:rsidRPr="66E8F69A">
        <w:rPr>
          <w:rFonts w:ascii="Arial" w:hAnsi="Arial" w:cs="Arial"/>
          <w:b/>
          <w:bCs/>
          <w:color w:val="003594"/>
          <w:sz w:val="28"/>
          <w:szCs w:val="28"/>
        </w:rPr>
        <w:t>12. Education Benefits &amp; Retirement Savings</w:t>
      </w:r>
    </w:p>
    <w:p w14:paraId="7B715731" w14:textId="55142F11" w:rsidR="0039200B" w:rsidRPr="0016752A" w:rsidRDefault="001A7B9F"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Education benefits</w:t>
      </w:r>
    </w:p>
    <w:p w14:paraId="24AFB75F" w14:textId="056D333D"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Retirees may be eligible for continued education benefits at the University for themselves, a spouse or domestic partner, and dependent children — the same scholarship benefits as current employees, if either path applies: (1) you or your eligible family member were employed and enrolled at the time of your disability or retirement, or (2) you were not enrolled then but were employed at the University for at least five years immediately prior to disability or retirement.</w:t>
      </w:r>
    </w:p>
    <w:p w14:paraId="20A70AC4" w14:textId="254DB5B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lastRenderedPageBreak/>
        <w:t>If the retiree passes away, an eligible spouse, domestic partner, or dependent child(ren) may continue using education benefits if policy requirements are met (for dependent children, another parent or legal guardian must still claim them on their 1040 tax return).</w:t>
      </w:r>
    </w:p>
    <w:p w14:paraId="4F851102" w14:textId="3ED9B03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Hired on or before September 1, 1994: dependent children may qualify for benefits at other institutions — either the child is already enrolled when the parent retires, becomes disabled, or passes away, or the retiree completed at least 10 years of full-time service immediately before disability, retirement, or death. Spouse/partner benefits remain at Pitt only.</w:t>
      </w:r>
    </w:p>
    <w:p w14:paraId="1DB4AA4D" w14:textId="36F60FE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Hired after September 1, 1994 (including hires who accepted a written offer after 9/1/94): education benefits are available at Pitt only, for dependent children and a spouse/domestic partner — not at other institutions for any family member.</w:t>
      </w:r>
    </w:p>
    <w:p w14:paraId="34E2051D" w14:textId="5DEAFD74"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“Dependent child” must meet IRS criteria, rely on you for support, and be claimed on your Federal Form 1040 for the calendar year most applicable to the academic term requested. See IRS dependent rules at irs.gov.</w:t>
      </w:r>
    </w:p>
    <w:p w14:paraId="71BD65E2" w14:textId="09FA8C76"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Retirement savings — three stages</w:t>
      </w:r>
    </w:p>
    <w:p w14:paraId="3A1CCF24" w14:textId="7E437A4E"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3–6 months before retirement: meet with a TIAA advisor; review account balances (TIAA, Vanguard, 403(b), IRAs); confirm or update beneficiaries; explore options to consolidate or roll over.</w:t>
      </w:r>
    </w:p>
    <w:p w14:paraId="1806D14B" w14:textId="5897E3B7"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At retirement: decide when and how to begin withdrawals; understand the tax implications of each distribution option.</w:t>
      </w:r>
    </w:p>
    <w:p w14:paraId="03CB4F63" w14:textId="0C690F4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Ongoing in retirement: monitor performance and adjust risk level; track Required Minimum Distributions at your IRS-defined RMD age (which depends on your birth year — consult TIAA or your tax advisor); stay informed about contribution and withdrawal limits.</w:t>
      </w:r>
    </w:p>
    <w:p w14:paraId="4A670BAB" w14:textId="6E377E6D"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Resources: </w:t>
      </w:r>
      <w:proofErr w:type="gramStart"/>
      <w:r w:rsidRPr="0016752A">
        <w:rPr>
          <w:rFonts w:ascii="Arial" w:hAnsi="Arial" w:cs="Arial"/>
          <w:color w:val="333333"/>
          <w:sz w:val="20"/>
        </w:rPr>
        <w:t>the</w:t>
      </w:r>
      <w:proofErr w:type="gramEnd"/>
      <w:r w:rsidRPr="0016752A">
        <w:rPr>
          <w:rFonts w:ascii="Arial" w:hAnsi="Arial" w:cs="Arial"/>
          <w:color w:val="333333"/>
          <w:sz w:val="20"/>
        </w:rPr>
        <w:t xml:space="preserve"> Retirement Savings Overview for retired faculty and staff, and the TIAA brochure on the pros and cons of moving money out of the Pitt plan.</w:t>
      </w:r>
    </w:p>
    <w:p w14:paraId="5124CA1E" w14:textId="77777777" w:rsidR="00E51A0E" w:rsidRPr="0016752A" w:rsidRDefault="00E51A0E" w:rsidP="0016752A">
      <w:pPr>
        <w:pStyle w:val="Heading1"/>
        <w:pBdr>
          <w:bottom w:val="single" w:sz="4" w:space="1" w:color="FFB81C"/>
        </w:pBdr>
        <w:spacing w:after="120" w:line="320" w:lineRule="auto"/>
        <w:rPr>
          <w:rFonts w:ascii="Arial" w:hAnsi="Arial" w:cs="Arial"/>
          <w:b/>
          <w:color w:val="003594"/>
          <w:sz w:val="28"/>
        </w:rPr>
      </w:pPr>
      <w:r w:rsidRPr="0016752A">
        <w:rPr>
          <w:rFonts w:ascii="Arial" w:hAnsi="Arial" w:cs="Arial"/>
          <w:b/>
          <w:color w:val="003594"/>
          <w:sz w:val="28"/>
        </w:rPr>
        <w:t>13. Family Coverage Scenarios at Age 65+</w:t>
      </w:r>
    </w:p>
    <w:p w14:paraId="7934FD31" w14:textId="0B6AC48E" w:rsidR="0039200B" w:rsidRPr="0016752A" w:rsidRDefault="00E51A0E" w:rsidP="0016752A">
      <w:pPr>
        <w:spacing w:before="60" w:after="60" w:line="250" w:lineRule="auto"/>
        <w:rPr>
          <w:rFonts w:ascii="Arial" w:hAnsi="Arial" w:cs="Arial"/>
          <w:color w:val="333333"/>
          <w:sz w:val="20"/>
        </w:rPr>
      </w:pPr>
      <w:r w:rsidRPr="0016752A">
        <w:rPr>
          <w:rFonts w:ascii="Arial" w:hAnsi="Arial" w:cs="Arial"/>
          <w:color w:val="333333"/>
          <w:sz w:val="20"/>
        </w:rPr>
        <w:t>After 65 there is no “Two Adults” tier — each person 65+ enrolls in their own Individual Post-65 plan with their own DDB credit. Dependent children are covered to age 26; certified disabled dependents may qualify for extended coverage beyond 26.</w:t>
      </w:r>
    </w:p>
    <w:p w14:paraId="5561FEBC" w14:textId="2B76534A"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Retiree 65+, no spouse or children: Individual Post-65 plan with DDB.</w:t>
      </w:r>
    </w:p>
    <w:p w14:paraId="68DCA38D" w14:textId="737B3428"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Retiree 65+ with dependent child(ren) only: retiree on Individual Post-65 with DDB; child(ren) on an Individual Pre-65 plan at full cost.</w:t>
      </w:r>
    </w:p>
    <w:p w14:paraId="2F284087" w14:textId="36403B5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Spouse/partner under 62: retiree on Individual Post-65 with DDB; spouse on an Individual Pre-65 plan at full cost (with children, a Parent/Child Pre-65 plan at full cost).</w:t>
      </w:r>
    </w:p>
    <w:p w14:paraId="47D4FF9A" w14:textId="515E9ED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Spouse/partner age 62–64: retiree on Individual Post-65 with DDB; spouse on </w:t>
      </w:r>
      <w:proofErr w:type="gramStart"/>
      <w:r w:rsidRPr="0016752A">
        <w:rPr>
          <w:rFonts w:ascii="Arial" w:hAnsi="Arial" w:cs="Arial"/>
          <w:color w:val="333333"/>
          <w:sz w:val="20"/>
        </w:rPr>
        <w:t>Pre-65</w:t>
      </w:r>
      <w:proofErr w:type="gramEnd"/>
      <w:r w:rsidRPr="0016752A">
        <w:rPr>
          <w:rFonts w:ascii="Arial" w:hAnsi="Arial" w:cs="Arial"/>
          <w:color w:val="333333"/>
          <w:sz w:val="20"/>
        </w:rPr>
        <w:t xml:space="preserve"> at the retiree cost share (with children, a Parent/Child Pre-65 plan at cost share).</w:t>
      </w:r>
    </w:p>
    <w:p w14:paraId="78A56322" w14:textId="7BD8FDA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Spouse/partner 65+: both on Individual Post-65 plans, each with DDB; any dependent child(ren) on an Individual Pre-65 plan at full cost.</w:t>
      </w:r>
    </w:p>
    <w:p w14:paraId="40F2BD93" w14:textId="2E85541C" w:rsidR="0039200B" w:rsidRPr="0016752A" w:rsidRDefault="0039200B" w:rsidP="569E34C2">
      <w:pPr>
        <w:spacing w:before="60" w:after="60" w:line="250" w:lineRule="auto"/>
        <w:rPr>
          <w:rFonts w:ascii="Arial" w:hAnsi="Arial" w:cs="Arial"/>
          <w:color w:val="333333"/>
          <w:sz w:val="20"/>
          <w:szCs w:val="20"/>
        </w:rPr>
      </w:pPr>
      <w:r w:rsidRPr="0E954F79">
        <w:rPr>
          <w:rFonts w:ascii="Arial" w:hAnsi="Arial" w:cs="Arial"/>
          <w:color w:val="333333"/>
          <w:sz w:val="20"/>
          <w:szCs w:val="20"/>
        </w:rPr>
        <w:t xml:space="preserve">Worked examples from the session: Maria (65) with a husband 63 and daughter 22 — Maria enrolls Post-65 with DDB while husband and daughter are covered under a </w:t>
      </w:r>
      <w:proofErr w:type="gramStart"/>
      <w:r w:rsidRPr="0E954F79">
        <w:rPr>
          <w:rFonts w:ascii="Arial" w:hAnsi="Arial" w:cs="Arial"/>
          <w:color w:val="333333"/>
          <w:sz w:val="20"/>
          <w:szCs w:val="20"/>
        </w:rPr>
        <w:t>Pre-65</w:t>
      </w:r>
      <w:proofErr w:type="gramEnd"/>
      <w:r w:rsidRPr="0E954F79">
        <w:rPr>
          <w:rFonts w:ascii="Arial" w:hAnsi="Arial" w:cs="Arial"/>
          <w:color w:val="333333"/>
          <w:sz w:val="20"/>
          <w:szCs w:val="20"/>
        </w:rPr>
        <w:t xml:space="preserve"> plan at the retiree cost share; when the husband turns </w:t>
      </w:r>
      <w:proofErr w:type="gramStart"/>
      <w:r w:rsidRPr="0E954F79">
        <w:rPr>
          <w:rFonts w:ascii="Arial" w:hAnsi="Arial" w:cs="Arial"/>
          <w:color w:val="333333"/>
          <w:sz w:val="20"/>
          <w:szCs w:val="20"/>
        </w:rPr>
        <w:t>65</w:t>
      </w:r>
      <w:proofErr w:type="gramEnd"/>
      <w:r w:rsidRPr="0E954F79">
        <w:rPr>
          <w:rFonts w:ascii="Arial" w:hAnsi="Arial" w:cs="Arial"/>
          <w:color w:val="333333"/>
          <w:sz w:val="20"/>
          <w:szCs w:val="20"/>
        </w:rPr>
        <w:t xml:space="preserve"> he moves to his own </w:t>
      </w:r>
      <w:proofErr w:type="gramStart"/>
      <w:r w:rsidRPr="0E954F79">
        <w:rPr>
          <w:rFonts w:ascii="Arial" w:hAnsi="Arial" w:cs="Arial"/>
          <w:color w:val="333333"/>
          <w:sz w:val="20"/>
          <w:szCs w:val="20"/>
        </w:rPr>
        <w:t>Post-65</w:t>
      </w:r>
      <w:proofErr w:type="gramEnd"/>
      <w:r w:rsidRPr="0E954F79">
        <w:rPr>
          <w:rFonts w:ascii="Arial" w:hAnsi="Arial" w:cs="Arial"/>
          <w:color w:val="333333"/>
          <w:sz w:val="20"/>
          <w:szCs w:val="20"/>
        </w:rPr>
        <w:t xml:space="preserve"> plan with DDB and the daughter moves to Individual Pre-65 at full cost; when the daughter ages out at 26 she is offered COBRA or moves to her own coverage. Robert (65) with wife Sarah (58, no other </w:t>
      </w:r>
      <w:proofErr w:type="gramStart"/>
      <w:r w:rsidRPr="0E954F79">
        <w:rPr>
          <w:rFonts w:ascii="Arial" w:hAnsi="Arial" w:cs="Arial"/>
          <w:color w:val="333333"/>
          <w:sz w:val="20"/>
          <w:szCs w:val="20"/>
        </w:rPr>
        <w:t>coverage) —</w:t>
      </w:r>
      <w:proofErr w:type="gramEnd"/>
      <w:r w:rsidRPr="0E954F79">
        <w:rPr>
          <w:rFonts w:ascii="Arial" w:hAnsi="Arial" w:cs="Arial"/>
          <w:color w:val="333333"/>
          <w:sz w:val="20"/>
          <w:szCs w:val="20"/>
        </w:rPr>
        <w:t xml:space="preserve"> Sarah enrolls in her own Individual Pre-65 plan at full cost, moves to the retiree cost share at 62, and to her own </w:t>
      </w:r>
      <w:proofErr w:type="gramStart"/>
      <w:r w:rsidRPr="0E954F79">
        <w:rPr>
          <w:rFonts w:ascii="Arial" w:hAnsi="Arial" w:cs="Arial"/>
          <w:color w:val="333333"/>
          <w:sz w:val="20"/>
          <w:szCs w:val="20"/>
        </w:rPr>
        <w:t>Post-65</w:t>
      </w:r>
      <w:proofErr w:type="gramEnd"/>
      <w:r w:rsidRPr="0E954F79">
        <w:rPr>
          <w:rFonts w:ascii="Arial" w:hAnsi="Arial" w:cs="Arial"/>
          <w:color w:val="333333"/>
          <w:sz w:val="20"/>
          <w:szCs w:val="20"/>
        </w:rPr>
        <w:t xml:space="preserve"> plan with DDB at 65. David and Michael (both 67) — each enrolls in a separate Individual Post-65 plan with DDB; both must have Part B. Linda (65) with husband 60 and daughter 18 — Linda goes to Medicare plus Post-65 with DDB; husband and daughter stay on a Pre-65 Parent/Child plan at full cost until he turns 62 (cost share), then at 65 he moves to his own Post-65 plan with DDB and the daughter to Individual Pre-65 at full cost.</w:t>
      </w:r>
    </w:p>
    <w:p w14:paraId="440861DA" w14:textId="76465193" w:rsidR="000E582F" w:rsidRPr="0016752A" w:rsidRDefault="000E582F" w:rsidP="0E954F79">
      <w:pPr>
        <w:pStyle w:val="Heading1"/>
        <w:pBdr>
          <w:bottom w:val="single" w:sz="4" w:space="1" w:color="FFB81C"/>
        </w:pBdr>
        <w:spacing w:after="120" w:line="320" w:lineRule="auto"/>
        <w:rPr>
          <w:rFonts w:ascii="Arial" w:hAnsi="Arial" w:cs="Arial"/>
          <w:b/>
          <w:bCs/>
          <w:color w:val="003594"/>
          <w:sz w:val="28"/>
          <w:szCs w:val="28"/>
        </w:rPr>
      </w:pPr>
      <w:r w:rsidRPr="0E954F79">
        <w:rPr>
          <w:rFonts w:ascii="Arial" w:hAnsi="Arial" w:cs="Arial"/>
          <w:b/>
          <w:bCs/>
          <w:color w:val="003594"/>
          <w:sz w:val="28"/>
          <w:szCs w:val="28"/>
        </w:rPr>
        <w:lastRenderedPageBreak/>
        <w:t xml:space="preserve">14. Timing, </w:t>
      </w:r>
      <w:proofErr w:type="gramStart"/>
      <w:r w:rsidRPr="0E954F79">
        <w:rPr>
          <w:rFonts w:ascii="Arial" w:hAnsi="Arial" w:cs="Arial"/>
          <w:b/>
          <w:bCs/>
          <w:color w:val="003594"/>
          <w:sz w:val="28"/>
          <w:szCs w:val="28"/>
        </w:rPr>
        <w:t>Choosing</w:t>
      </w:r>
      <w:proofErr w:type="gramEnd"/>
      <w:r w:rsidRPr="0E954F79">
        <w:rPr>
          <w:rFonts w:ascii="Arial" w:hAnsi="Arial" w:cs="Arial"/>
          <w:b/>
          <w:bCs/>
          <w:color w:val="003594"/>
          <w:sz w:val="28"/>
          <w:szCs w:val="28"/>
        </w:rPr>
        <w:t xml:space="preserve"> a Plan &amp; Making Changes</w:t>
      </w:r>
    </w:p>
    <w:p w14:paraId="50B30618" w14:textId="109EC509" w:rsidR="0039200B" w:rsidRPr="0016752A" w:rsidRDefault="000E582F"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Retire at 62–64 vs. wait until 65</w:t>
      </w:r>
    </w:p>
    <w:p w14:paraId="467FB29E" w14:textId="4F967F6A"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Retiring at 62–64 — pros: start retirement up to 3 years sooner; access to </w:t>
      </w:r>
      <w:proofErr w:type="gramStart"/>
      <w:r w:rsidRPr="0016752A">
        <w:rPr>
          <w:rFonts w:ascii="Arial" w:hAnsi="Arial" w:cs="Arial"/>
          <w:color w:val="333333"/>
          <w:sz w:val="20"/>
        </w:rPr>
        <w:t>Pre-65</w:t>
      </w:r>
      <w:proofErr w:type="gramEnd"/>
      <w:r w:rsidRPr="0016752A">
        <w:rPr>
          <w:rFonts w:ascii="Arial" w:hAnsi="Arial" w:cs="Arial"/>
          <w:color w:val="333333"/>
          <w:sz w:val="20"/>
        </w:rPr>
        <w:t xml:space="preserve"> retiree medical, dental, and vision at the retiree cost share; eligible to begin DDB credits (bank them or apply to non-Pitt coverage); full vacation payout at retirement (sick payout if eligible).</w:t>
      </w:r>
    </w:p>
    <w:p w14:paraId="10CF9CFC" w14:textId="07C61FF4"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Retiring at 62–64 — cons: DDB credits do not apply to Pitt plans until you turn 65; a spouse/partner under 62 pays the full premium with no University contribution; premiums are paid after-tax as a retiree rather than pre-tax as an active employee.</w:t>
      </w:r>
    </w:p>
    <w:p w14:paraId="4E748511" w14:textId="152BD278"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Waiting until 65 — pros: DDB credits apply to Pitt Post-65 plans immediately at retirement; you skip the </w:t>
      </w:r>
      <w:proofErr w:type="gramStart"/>
      <w:r w:rsidRPr="0016752A">
        <w:rPr>
          <w:rFonts w:ascii="Arial" w:hAnsi="Arial" w:cs="Arial"/>
          <w:color w:val="333333"/>
          <w:sz w:val="20"/>
        </w:rPr>
        <w:t>Pre-65</w:t>
      </w:r>
      <w:proofErr w:type="gramEnd"/>
      <w:r w:rsidRPr="0016752A">
        <w:rPr>
          <w:rFonts w:ascii="Arial" w:hAnsi="Arial" w:cs="Arial"/>
          <w:color w:val="333333"/>
          <w:sz w:val="20"/>
        </w:rPr>
        <w:t xml:space="preserve"> bridge entirely (one coverage transition instead of two); more time to accrue retirement savings; you continue accruing vacation and sick balances.</w:t>
      </w:r>
    </w:p>
    <w:p w14:paraId="2E6C8D80" w14:textId="7F690D7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Waiting until 65 — cons: up to 3 more years of full-time work; you must enroll in Medicare Parts A and B at 65, with new administrative and timing rules; your active medical plan ends on your last day of work, so Medicare effective dates must be coordinated to avoid gaps.</w:t>
      </w:r>
    </w:p>
    <w:p w14:paraId="6E7D191E" w14:textId="50398F28"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The right timing depends on your finances, your spouse’s age, and your healthcare needs — consult your family and your financial advisor.</w:t>
      </w:r>
    </w:p>
    <w:p w14:paraId="68A29A5F" w14:textId="41092C9E"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Which plan should I choose?</w:t>
      </w:r>
    </w:p>
    <w:p w14:paraId="0B5CC09F" w14:textId="00565780"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Base the choice on your personal circumstances. If you live outside Western PA, an HMO may not be the best option.</w:t>
      </w:r>
    </w:p>
    <w:p w14:paraId="1D5D470C" w14:textId="1E7B522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If you have more than one primary residence, consider a PPO or a Medicare Supplement plan (Signature 65 or National Complementary).</w:t>
      </w:r>
    </w:p>
    <w:p w14:paraId="77B864ED" w14:textId="7804D8E5"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Compare Advantage vs. Supplement plans and their networks of doctors and facilities before deciding. Review the plans, summary grids, and comparison guide at hr.pitt.edu/retirees.</w:t>
      </w:r>
    </w:p>
    <w:p w14:paraId="79FC6966" w14:textId="63646890"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When can I make changes?</w:t>
      </w:r>
    </w:p>
    <w:p w14:paraId="556F48E0" w14:textId="294B8D5F"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Open enrollment for post-65 retirees is held each fall, typically starting in November, for changes effective January 1. You may change plans from year to year.</w:t>
      </w:r>
    </w:p>
    <w:p w14:paraId="5D6F7A96" w14:textId="18BEA3DC"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Mid-year changes are allowed after a life event (Qualified Status Change): adding a spouse/domestic partner due to loss of employer coverage, removing a spouse/domestic partner due to divorce or death, or a change in permanent residency.</w:t>
      </w:r>
    </w:p>
    <w:p w14:paraId="0FA94039" w14:textId="19DE089B" w:rsidR="0039200B" w:rsidRPr="0016752A" w:rsidRDefault="0039200B" w:rsidP="19538455">
      <w:pPr>
        <w:pStyle w:val="ListBullet"/>
        <w:spacing w:before="40" w:after="40" w:line="250" w:lineRule="auto"/>
        <w:rPr>
          <w:rFonts w:ascii="Arial" w:hAnsi="Arial" w:cs="Arial"/>
          <w:color w:val="333333"/>
          <w:sz w:val="20"/>
          <w:szCs w:val="20"/>
        </w:rPr>
      </w:pPr>
      <w:r w:rsidRPr="12D617DB">
        <w:rPr>
          <w:rFonts w:ascii="Arial" w:hAnsi="Arial" w:cs="Arial"/>
          <w:color w:val="333333"/>
          <w:sz w:val="20"/>
          <w:szCs w:val="20"/>
        </w:rPr>
        <w:t>Enrollment changes must be made within 60 days of the Qualified Status Change. Contact BMS at 1-888-499-6885.</w:t>
      </w:r>
    </w:p>
    <w:p w14:paraId="166FB9C7" w14:textId="4A814440" w:rsidR="00A54E2F" w:rsidRPr="0016752A" w:rsidRDefault="00A54E2F" w:rsidP="12D617DB">
      <w:pPr>
        <w:pStyle w:val="Heading1"/>
        <w:pBdr>
          <w:bottom w:val="single" w:sz="4" w:space="1" w:color="FFB81C"/>
        </w:pBdr>
        <w:spacing w:after="120" w:line="320" w:lineRule="auto"/>
        <w:rPr>
          <w:rFonts w:ascii="Arial" w:hAnsi="Arial" w:cs="Arial"/>
          <w:b/>
          <w:bCs/>
          <w:color w:val="003594"/>
          <w:sz w:val="28"/>
          <w:szCs w:val="28"/>
        </w:rPr>
      </w:pPr>
      <w:r w:rsidRPr="12D617DB">
        <w:rPr>
          <w:rFonts w:ascii="Arial" w:hAnsi="Arial" w:cs="Arial"/>
          <w:b/>
          <w:bCs/>
          <w:color w:val="003594"/>
          <w:sz w:val="28"/>
          <w:szCs w:val="28"/>
        </w:rPr>
        <w:t>15. Hearing Aid Benefit — Amplifon</w:t>
      </w:r>
    </w:p>
    <w:p w14:paraId="5B7518F5" w14:textId="5736C82E" w:rsidR="0039200B" w:rsidRPr="0016752A" w:rsidRDefault="00A54E2F" w:rsidP="0016752A">
      <w:pPr>
        <w:spacing w:before="60" w:after="60" w:line="250" w:lineRule="auto"/>
        <w:rPr>
          <w:rFonts w:ascii="Arial" w:hAnsi="Arial" w:cs="Arial"/>
          <w:color w:val="333333"/>
          <w:sz w:val="20"/>
        </w:rPr>
      </w:pPr>
      <w:r w:rsidRPr="0016752A">
        <w:rPr>
          <w:rFonts w:ascii="Arial" w:hAnsi="Arial" w:cs="Arial"/>
          <w:color w:val="333333"/>
          <w:sz w:val="20"/>
        </w:rPr>
        <w:t xml:space="preserve">Presented by Vicki Kistler, Senior National Account Manager, Amplifon. The benefit is available to both active employees and retirees enrolled in a UPMC health plan (including covered family members and spouses). Highmark plans have separate hearing aid coverage through </w:t>
      </w:r>
      <w:proofErr w:type="spellStart"/>
      <w:r w:rsidRPr="0016752A">
        <w:rPr>
          <w:rFonts w:ascii="Arial" w:hAnsi="Arial" w:cs="Arial"/>
          <w:color w:val="333333"/>
          <w:sz w:val="20"/>
        </w:rPr>
        <w:t>TruHearing</w:t>
      </w:r>
      <w:proofErr w:type="spellEnd"/>
      <w:r w:rsidRPr="0016752A">
        <w:rPr>
          <w:rFonts w:ascii="Arial" w:hAnsi="Arial" w:cs="Arial"/>
          <w:color w:val="333333"/>
          <w:sz w:val="20"/>
        </w:rPr>
        <w:t>; for non-UPMC plans, check the 2026 post-65 medical options comparison grid.</w:t>
      </w:r>
    </w:p>
    <w:p w14:paraId="59D28EC0" w14:textId="7DBB35E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Benefit: $1,800 per aid every 3 years. Savings up to 70% off MSRP (based on a 2025 internal analysis; savings may vary). There is no additional cost for the Amplifon program through UPMC health plans.</w:t>
      </w:r>
    </w:p>
    <w:p w14:paraId="6C24C324" w14:textId="595F401A"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Pricing per hearing aid by tier: Tier 1 $690 • Tier 2 $990 • Tier 3 $1,190 • Tier 4 $1,490 • Tier 5 $1,890.</w:t>
      </w:r>
    </w:p>
    <w:p w14:paraId="2AE0E192" w14:textId="103A7722"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Program perks: $0 hearing exam at participating Amplifon network locations; 60-day risk-free trial; 3-year warranty with loss and damage protection; 1 year of unlimited follow-up care; free charging station or 2 years of batteries.</w:t>
      </w:r>
    </w:p>
    <w:p w14:paraId="455CA6A1" w14:textId="0E7138F8"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Getting started: (1) call Amplifon at 866-978-9379 or visit www.amplifonusa.com/pitt, (2) a hearing care advocate explains the program and answers questions, (3) the advocate helps schedule an appointment at a nearby clinic.</w:t>
      </w:r>
    </w:p>
    <w:p w14:paraId="1B758F3E" w14:textId="449DB0A2" w:rsidR="0039200B" w:rsidRPr="0016752A" w:rsidRDefault="28296609" w:rsidP="0016752A">
      <w:pPr>
        <w:pStyle w:val="ListBullet"/>
        <w:spacing w:before="40" w:after="40" w:line="250" w:lineRule="auto"/>
        <w:rPr>
          <w:rFonts w:ascii="Arial" w:hAnsi="Arial" w:cs="Arial"/>
          <w:color w:val="333333"/>
          <w:sz w:val="20"/>
        </w:rPr>
      </w:pPr>
      <w:r w:rsidRPr="4A3360AA">
        <w:rPr>
          <w:rFonts w:ascii="Arial" w:hAnsi="Arial" w:cs="Arial"/>
          <w:color w:val="333333"/>
          <w:sz w:val="20"/>
          <w:szCs w:val="20"/>
        </w:rPr>
        <w:lastRenderedPageBreak/>
        <w:t>Causes of hearing loss covered in the session: noise (sudden extremely loud noise, continuous loud environments or work sounds, repeated high-volume earbud/headphone use — the preventable category); health (certain infections such as bacterial meningitis and mumps, genetics, family health history); and age (deteriorating inner ear function as hairlike cells die and do not regrow, plus chronic conditions such as diabetes and heart disease).</w:t>
      </w:r>
    </w:p>
    <w:p w14:paraId="592CE7C1" w14:textId="2AC3B3F3" w:rsidR="0039200B" w:rsidRPr="0016752A" w:rsidRDefault="0039200B" w:rsidP="0EC32285">
      <w:pPr>
        <w:pStyle w:val="Heading2"/>
        <w:spacing w:before="280"/>
        <w:rPr>
          <w:rFonts w:ascii="Arial" w:eastAsia="Arial" w:hAnsi="Arial" w:cs="Arial"/>
          <w:b/>
          <w:bCs/>
          <w:color w:val="003594"/>
          <w:sz w:val="24"/>
          <w:szCs w:val="24"/>
        </w:rPr>
      </w:pPr>
      <w:r w:rsidRPr="0EC32285">
        <w:rPr>
          <w:rFonts w:ascii="Arial" w:eastAsia="Arial" w:hAnsi="Arial" w:cs="Arial"/>
          <w:b/>
          <w:bCs/>
          <w:color w:val="003594"/>
          <w:sz w:val="24"/>
          <w:szCs w:val="24"/>
        </w:rPr>
        <w:t>DDB, dependents and accounts</w:t>
      </w:r>
    </w:p>
    <w:p w14:paraId="682B2C14" w14:textId="5B46D87A"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How do I know my total DDB balance? BMS can provide it — call 1-888-499-6885 and select the retiree option. BMS mails eligible retirees their DDB balance every January.</w:t>
      </w:r>
    </w:p>
    <w:p w14:paraId="344C6B27" w14:textId="080C025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What can unused DDB credits be used for? Eligible retiree medical plan premiums only. Balances accrue month to month and year to year when premiums are less than available </w:t>
      </w:r>
      <w:proofErr w:type="gramStart"/>
      <w:r w:rsidRPr="0016752A">
        <w:rPr>
          <w:rFonts w:ascii="Arial" w:hAnsi="Arial" w:cs="Arial"/>
          <w:color w:val="333333"/>
          <w:sz w:val="20"/>
        </w:rPr>
        <w:t>credits, and</w:t>
      </w:r>
      <w:proofErr w:type="gramEnd"/>
      <w:r w:rsidRPr="0016752A">
        <w:rPr>
          <w:rFonts w:ascii="Arial" w:hAnsi="Arial" w:cs="Arial"/>
          <w:color w:val="333333"/>
          <w:sz w:val="20"/>
        </w:rPr>
        <w:t xml:space="preserve"> may be applied to coverage later. Credits are applied separately to the retiree’s account and to the eligible spouse/domestic partner’s account. Any surplus remains in your DDB account for future premiums.</w:t>
      </w:r>
    </w:p>
    <w:p w14:paraId="00908ED6" w14:textId="44C46329"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Is the $401 DDB credit taxable? No — DDB credits are not taxable.</w:t>
      </w:r>
    </w:p>
    <w:p w14:paraId="1B4867B8" w14:textId="43BFC566"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 xml:space="preserve">Can I add my husband to my coverage when I retire if my benefits are better than his? Yes — a spouse can join the coverage </w:t>
      </w:r>
      <w:proofErr w:type="gramStart"/>
      <w:r w:rsidRPr="0016752A">
        <w:rPr>
          <w:rFonts w:ascii="Arial" w:hAnsi="Arial" w:cs="Arial"/>
          <w:color w:val="333333"/>
          <w:sz w:val="20"/>
        </w:rPr>
        <w:t>as long as</w:t>
      </w:r>
      <w:proofErr w:type="gramEnd"/>
      <w:r w:rsidRPr="0016752A">
        <w:rPr>
          <w:rFonts w:ascii="Arial" w:hAnsi="Arial" w:cs="Arial"/>
          <w:color w:val="333333"/>
          <w:sz w:val="20"/>
        </w:rPr>
        <w:t xml:space="preserve"> you </w:t>
      </w:r>
      <w:proofErr w:type="gramStart"/>
      <w:r w:rsidRPr="0016752A">
        <w:rPr>
          <w:rFonts w:ascii="Arial" w:hAnsi="Arial" w:cs="Arial"/>
          <w:color w:val="333333"/>
          <w:sz w:val="20"/>
        </w:rPr>
        <w:t>were</w:t>
      </w:r>
      <w:proofErr w:type="gramEnd"/>
      <w:r w:rsidRPr="0016752A">
        <w:rPr>
          <w:rFonts w:ascii="Arial" w:hAnsi="Arial" w:cs="Arial"/>
          <w:color w:val="333333"/>
          <w:sz w:val="20"/>
        </w:rPr>
        <w:t xml:space="preserve"> married before the employee’s last day of work.</w:t>
      </w:r>
    </w:p>
    <w:p w14:paraId="65252AF4" w14:textId="5DEDB88B"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What if I am not eligible for retiree benefits and leave the University? You will be offered COBRA. If you separate at over age 65, you must enroll in Medicare upon separation.</w:t>
      </w:r>
    </w:p>
    <w:p w14:paraId="7ED560D7" w14:textId="5AF122A6"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Can I use my FSA if I turn 65, apply for Part A, and keep working? Yes — FSAs are not affected by Medicare enrollment. Only HSA contributions are barred once you enroll in any part of Medicare.</w:t>
      </w:r>
    </w:p>
    <w:p w14:paraId="5BFBEAAF" w14:textId="6A671303" w:rsidR="0039200B" w:rsidRPr="0016752A" w:rsidRDefault="0039200B" w:rsidP="0016752A">
      <w:pPr>
        <w:pStyle w:val="ListBullet"/>
        <w:spacing w:before="40" w:after="40" w:line="250" w:lineRule="auto"/>
        <w:rPr>
          <w:rFonts w:ascii="Arial" w:hAnsi="Arial" w:cs="Arial"/>
          <w:color w:val="333333"/>
          <w:sz w:val="20"/>
        </w:rPr>
      </w:pPr>
      <w:r w:rsidRPr="0016752A">
        <w:rPr>
          <w:rFonts w:ascii="Arial" w:hAnsi="Arial" w:cs="Arial"/>
          <w:color w:val="333333"/>
          <w:sz w:val="20"/>
        </w:rPr>
        <w:t>Is my spouse still eligible for their life insurance plan after my retirement? Yes — they can port and convert their policy.</w:t>
      </w:r>
    </w:p>
    <w:p w14:paraId="3EDC6299" w14:textId="124E8A53" w:rsidR="0039200B" w:rsidRPr="0016752A" w:rsidRDefault="0039200B" w:rsidP="12D617DB">
      <w:pPr>
        <w:pStyle w:val="ListBullet"/>
        <w:spacing w:before="40" w:after="40" w:line="250" w:lineRule="auto"/>
        <w:rPr>
          <w:rFonts w:ascii="Arial" w:hAnsi="Arial" w:cs="Arial"/>
          <w:color w:val="333333"/>
          <w:sz w:val="20"/>
          <w:szCs w:val="20"/>
        </w:rPr>
      </w:pPr>
      <w:r w:rsidRPr="0EC32285">
        <w:rPr>
          <w:rFonts w:ascii="Arial" w:hAnsi="Arial" w:cs="Arial"/>
          <w:color w:val="333333"/>
          <w:sz w:val="20"/>
          <w:szCs w:val="20"/>
        </w:rPr>
        <w:t xml:space="preserve">Is there a monthly retirement Q&amp;A group? Not </w:t>
      </w:r>
      <w:proofErr w:type="gramStart"/>
      <w:r w:rsidRPr="0EC32285">
        <w:rPr>
          <w:rFonts w:ascii="Arial" w:hAnsi="Arial" w:cs="Arial"/>
          <w:color w:val="333333"/>
          <w:sz w:val="20"/>
          <w:szCs w:val="20"/>
        </w:rPr>
        <w:t>at this time</w:t>
      </w:r>
      <w:proofErr w:type="gramEnd"/>
      <w:r w:rsidRPr="0EC32285">
        <w:rPr>
          <w:rFonts w:ascii="Arial" w:hAnsi="Arial" w:cs="Arial"/>
          <w:color w:val="333333"/>
          <w:sz w:val="20"/>
          <w:szCs w:val="20"/>
        </w:rPr>
        <w:t>. Resources are at hr.pitt.edu/retirement; a new FAQ resource was anticipated on the OHR website later in the fall.</w:t>
      </w:r>
    </w:p>
    <w:p w14:paraId="6C0E0B48" w14:textId="594321AD" w:rsidR="008A08D8" w:rsidRPr="0016752A" w:rsidRDefault="008A08D8" w:rsidP="0EC32285">
      <w:pPr>
        <w:pStyle w:val="Heading1"/>
        <w:pBdr>
          <w:bottom w:val="single" w:sz="4" w:space="1" w:color="FFB81C"/>
        </w:pBdr>
        <w:spacing w:after="120" w:line="320" w:lineRule="auto"/>
      </w:pPr>
      <w:r w:rsidRPr="0EC32285">
        <w:rPr>
          <w:rFonts w:ascii="Arial" w:hAnsi="Arial" w:cs="Arial"/>
          <w:b/>
          <w:bCs/>
          <w:color w:val="003594"/>
          <w:sz w:val="28"/>
          <w:szCs w:val="28"/>
        </w:rPr>
        <w:t>17. Contacts &amp; Resources</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620" w:firstRow="1" w:lastRow="0" w:firstColumn="0" w:lastColumn="0" w:noHBand="1" w:noVBand="1"/>
      </w:tblPr>
      <w:tblGrid>
        <w:gridCol w:w="2597"/>
        <w:gridCol w:w="3196"/>
        <w:gridCol w:w="4277"/>
      </w:tblGrid>
      <w:tr w:rsidR="0039200B" w:rsidRPr="0016752A" w14:paraId="15670550" w14:textId="77777777" w:rsidTr="0EC32285">
        <w:trPr>
          <w:tblHeader/>
        </w:trPr>
        <w:tc>
          <w:tcPr>
            <w:tcW w:w="2600" w:type="dxa"/>
            <w:shd w:val="clear" w:color="auto" w:fill="003594"/>
            <w:tcMar>
              <w:top w:w="60" w:type="dxa"/>
              <w:left w:w="120" w:type="dxa"/>
              <w:bottom w:w="60" w:type="dxa"/>
              <w:right w:w="120" w:type="dxa"/>
            </w:tcMar>
          </w:tcPr>
          <w:p w14:paraId="4A078D2C" w14:textId="30B16FD3"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Organization</w:t>
            </w:r>
          </w:p>
        </w:tc>
        <w:tc>
          <w:tcPr>
            <w:tcW w:w="3200" w:type="dxa"/>
            <w:shd w:val="clear" w:color="auto" w:fill="003594"/>
            <w:tcMar>
              <w:top w:w="60" w:type="dxa"/>
              <w:left w:w="120" w:type="dxa"/>
              <w:bottom w:w="60" w:type="dxa"/>
              <w:right w:w="120" w:type="dxa"/>
            </w:tcMar>
          </w:tcPr>
          <w:p w14:paraId="1EBFB80D" w14:textId="221BD143"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Phone</w:t>
            </w:r>
          </w:p>
        </w:tc>
        <w:tc>
          <w:tcPr>
            <w:tcW w:w="4280" w:type="dxa"/>
            <w:shd w:val="clear" w:color="auto" w:fill="003594"/>
            <w:tcMar>
              <w:top w:w="60" w:type="dxa"/>
              <w:left w:w="120" w:type="dxa"/>
              <w:bottom w:w="60" w:type="dxa"/>
              <w:right w:w="120" w:type="dxa"/>
            </w:tcMar>
          </w:tcPr>
          <w:p w14:paraId="3C048B76" w14:textId="2037C87D" w:rsidR="0039200B" w:rsidRPr="0016752A" w:rsidRDefault="0039200B" w:rsidP="0EC32285">
            <w:pPr>
              <w:spacing w:before="60" w:after="60" w:line="230" w:lineRule="auto"/>
              <w:rPr>
                <w:rFonts w:ascii="Arial" w:eastAsiaTheme="majorEastAsia" w:hAnsi="Arial" w:cs="Arial"/>
                <w:b/>
                <w:bCs/>
                <w:color w:val="FFFFFF"/>
                <w:sz w:val="19"/>
                <w:szCs w:val="19"/>
              </w:rPr>
            </w:pPr>
            <w:r w:rsidRPr="0EC32285">
              <w:rPr>
                <w:rFonts w:ascii="Arial" w:eastAsiaTheme="majorEastAsia" w:hAnsi="Arial" w:cs="Arial"/>
                <w:b/>
                <w:bCs/>
                <w:color w:val="FFFFFF" w:themeColor="background1"/>
                <w:sz w:val="19"/>
                <w:szCs w:val="19"/>
              </w:rPr>
              <w:t>Website / notes</w:t>
            </w:r>
          </w:p>
        </w:tc>
      </w:tr>
      <w:tr w:rsidR="0039200B" w:rsidRPr="0016752A" w14:paraId="029080AA" w14:textId="77777777" w:rsidTr="0EC32285">
        <w:tc>
          <w:tcPr>
            <w:tcW w:w="2600" w:type="dxa"/>
            <w:shd w:val="clear" w:color="auto" w:fill="FFFFFF" w:themeFill="background1"/>
            <w:tcMar>
              <w:top w:w="60" w:type="dxa"/>
              <w:left w:w="120" w:type="dxa"/>
              <w:bottom w:w="60" w:type="dxa"/>
              <w:right w:w="120" w:type="dxa"/>
            </w:tcMar>
          </w:tcPr>
          <w:p w14:paraId="2C438091" w14:textId="17133263"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OHR Benefits Department</w:t>
            </w:r>
          </w:p>
        </w:tc>
        <w:tc>
          <w:tcPr>
            <w:tcW w:w="3200" w:type="dxa"/>
            <w:shd w:val="clear" w:color="auto" w:fill="FFFFFF" w:themeFill="background1"/>
            <w:tcMar>
              <w:top w:w="60" w:type="dxa"/>
              <w:left w:w="120" w:type="dxa"/>
              <w:bottom w:w="60" w:type="dxa"/>
              <w:right w:w="120" w:type="dxa"/>
            </w:tcMar>
          </w:tcPr>
          <w:p w14:paraId="34A7FE7D" w14:textId="5680C4AC"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833-852-2210 (Mon–Fri 8:30 a.m.–5 p.m.)</w:t>
            </w:r>
          </w:p>
        </w:tc>
        <w:tc>
          <w:tcPr>
            <w:tcW w:w="4280" w:type="dxa"/>
            <w:shd w:val="clear" w:color="auto" w:fill="FFFFFF" w:themeFill="background1"/>
            <w:tcMar>
              <w:top w:w="60" w:type="dxa"/>
              <w:left w:w="120" w:type="dxa"/>
              <w:bottom w:w="60" w:type="dxa"/>
              <w:right w:w="120" w:type="dxa"/>
            </w:tcMar>
          </w:tcPr>
          <w:p w14:paraId="2BDAC3A6" w14:textId="2505E9FB"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 xml:space="preserve">hr.pitt.edu/contact-ohr • hr.pitt.edu/benefits • retiree pages at hr.pitt.edu/retirees (Steps Toward Retirement checklist, retiree status eligibility, Pre-65 and </w:t>
            </w:r>
            <w:proofErr w:type="gramStart"/>
            <w:r w:rsidRPr="0EC32285">
              <w:rPr>
                <w:rFonts w:ascii="Arial" w:eastAsiaTheme="majorEastAsia" w:hAnsi="Arial" w:cs="Arial"/>
                <w:color w:val="333333"/>
                <w:sz w:val="19"/>
                <w:szCs w:val="19"/>
              </w:rPr>
              <w:t>Post-65</w:t>
            </w:r>
            <w:proofErr w:type="gramEnd"/>
            <w:r w:rsidRPr="0EC32285">
              <w:rPr>
                <w:rFonts w:ascii="Arial" w:eastAsiaTheme="majorEastAsia" w:hAnsi="Arial" w:cs="Arial"/>
                <w:color w:val="333333"/>
                <w:sz w:val="19"/>
                <w:szCs w:val="19"/>
              </w:rPr>
              <w:t xml:space="preserve"> coverage, Defined Dollar Benefit Program, helpful tools)</w:t>
            </w:r>
          </w:p>
        </w:tc>
      </w:tr>
      <w:tr w:rsidR="0039200B" w:rsidRPr="0016752A" w14:paraId="631A1405" w14:textId="77777777" w:rsidTr="0EC32285">
        <w:tc>
          <w:tcPr>
            <w:tcW w:w="2600" w:type="dxa"/>
            <w:shd w:val="clear" w:color="auto" w:fill="FFFFFF" w:themeFill="background1"/>
            <w:tcMar>
              <w:top w:w="60" w:type="dxa"/>
              <w:left w:w="120" w:type="dxa"/>
              <w:bottom w:w="60" w:type="dxa"/>
              <w:right w:w="120" w:type="dxa"/>
            </w:tcMar>
          </w:tcPr>
          <w:p w14:paraId="7CA4A690" w14:textId="6EEE0072"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Benefit Management Services (BMS)</w:t>
            </w:r>
          </w:p>
        </w:tc>
        <w:tc>
          <w:tcPr>
            <w:tcW w:w="3200" w:type="dxa"/>
            <w:shd w:val="clear" w:color="auto" w:fill="FFFFFF" w:themeFill="background1"/>
            <w:tcMar>
              <w:top w:w="60" w:type="dxa"/>
              <w:left w:w="120" w:type="dxa"/>
              <w:bottom w:w="60" w:type="dxa"/>
              <w:right w:w="120" w:type="dxa"/>
            </w:tcMar>
          </w:tcPr>
          <w:p w14:paraId="5396D3FB" w14:textId="3B941372"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1-888-499-6885 (retiree option), Mon–Fri 8 a.m.–6 p.m.; fax 1-877-851-5591</w:t>
            </w:r>
          </w:p>
        </w:tc>
        <w:tc>
          <w:tcPr>
            <w:tcW w:w="4280" w:type="dxa"/>
            <w:shd w:val="clear" w:color="auto" w:fill="FFFFFF" w:themeFill="background1"/>
            <w:tcMar>
              <w:top w:w="60" w:type="dxa"/>
              <w:left w:w="120" w:type="dxa"/>
              <w:bottom w:w="60" w:type="dxa"/>
              <w:right w:w="120" w:type="dxa"/>
            </w:tcMar>
          </w:tcPr>
          <w:p w14:paraId="5C4F23B7" w14:textId="3ABAC3F9"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PITT-BMSdocs@upmc.edu • US Steel Tower, 600 Grant St, Pittsburgh, PA 15219</w:t>
            </w:r>
          </w:p>
        </w:tc>
      </w:tr>
      <w:tr w:rsidR="0039200B" w:rsidRPr="0016752A" w14:paraId="59170586" w14:textId="77777777" w:rsidTr="0EC32285">
        <w:tc>
          <w:tcPr>
            <w:tcW w:w="2600" w:type="dxa"/>
            <w:shd w:val="clear" w:color="auto" w:fill="FFFFFF" w:themeFill="background1"/>
            <w:tcMar>
              <w:top w:w="60" w:type="dxa"/>
              <w:left w:w="120" w:type="dxa"/>
              <w:bottom w:w="60" w:type="dxa"/>
              <w:right w:w="120" w:type="dxa"/>
            </w:tcMar>
          </w:tcPr>
          <w:p w14:paraId="7A7EFD46" w14:textId="29FCECD8"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Health Plan</w:t>
            </w:r>
          </w:p>
        </w:tc>
        <w:tc>
          <w:tcPr>
            <w:tcW w:w="3200" w:type="dxa"/>
            <w:shd w:val="clear" w:color="auto" w:fill="FFFFFF" w:themeFill="background1"/>
            <w:tcMar>
              <w:top w:w="60" w:type="dxa"/>
              <w:left w:w="120" w:type="dxa"/>
              <w:bottom w:w="60" w:type="dxa"/>
              <w:right w:w="120" w:type="dxa"/>
            </w:tcMar>
          </w:tcPr>
          <w:p w14:paraId="74C75120" w14:textId="6716D596"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1-888-499-6885</w:t>
            </w:r>
          </w:p>
        </w:tc>
        <w:tc>
          <w:tcPr>
            <w:tcW w:w="4280" w:type="dxa"/>
            <w:shd w:val="clear" w:color="auto" w:fill="FFFFFF" w:themeFill="background1"/>
            <w:tcMar>
              <w:top w:w="60" w:type="dxa"/>
              <w:left w:w="120" w:type="dxa"/>
              <w:bottom w:w="60" w:type="dxa"/>
              <w:right w:w="120" w:type="dxa"/>
            </w:tcMar>
          </w:tcPr>
          <w:p w14:paraId="1D802BA4" w14:textId="720CC164"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upmchealthplan.com</w:t>
            </w:r>
          </w:p>
        </w:tc>
      </w:tr>
      <w:tr w:rsidR="0039200B" w:rsidRPr="0016752A" w14:paraId="0B37191C" w14:textId="77777777" w:rsidTr="0EC32285">
        <w:tc>
          <w:tcPr>
            <w:tcW w:w="2600" w:type="dxa"/>
            <w:shd w:val="clear" w:color="auto" w:fill="FFFFFF" w:themeFill="background1"/>
            <w:tcMar>
              <w:top w:w="60" w:type="dxa"/>
              <w:left w:w="120" w:type="dxa"/>
              <w:bottom w:w="60" w:type="dxa"/>
              <w:right w:w="120" w:type="dxa"/>
            </w:tcMar>
          </w:tcPr>
          <w:p w14:paraId="633BC270" w14:textId="6E641ABA"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 for Life HMO / PPO / National Complementary</w:t>
            </w:r>
          </w:p>
        </w:tc>
        <w:tc>
          <w:tcPr>
            <w:tcW w:w="3200" w:type="dxa"/>
            <w:shd w:val="clear" w:color="auto" w:fill="FFFFFF" w:themeFill="background1"/>
            <w:tcMar>
              <w:top w:w="60" w:type="dxa"/>
              <w:left w:w="120" w:type="dxa"/>
              <w:bottom w:w="60" w:type="dxa"/>
              <w:right w:w="120" w:type="dxa"/>
            </w:tcMar>
          </w:tcPr>
          <w:p w14:paraId="069F3DF3" w14:textId="11624616"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1-877-381-3765</w:t>
            </w:r>
          </w:p>
        </w:tc>
        <w:tc>
          <w:tcPr>
            <w:tcW w:w="4280" w:type="dxa"/>
            <w:shd w:val="clear" w:color="auto" w:fill="FFFFFF" w:themeFill="background1"/>
            <w:tcMar>
              <w:top w:w="60" w:type="dxa"/>
              <w:left w:w="120" w:type="dxa"/>
              <w:bottom w:w="60" w:type="dxa"/>
              <w:right w:w="120" w:type="dxa"/>
            </w:tcMar>
          </w:tcPr>
          <w:p w14:paraId="26183F0A" w14:textId="02277EDB"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upmchealthplan.com</w:t>
            </w:r>
          </w:p>
        </w:tc>
      </w:tr>
      <w:tr w:rsidR="0039200B" w:rsidRPr="0016752A" w14:paraId="6CD44651" w14:textId="77777777" w:rsidTr="0EC32285">
        <w:tc>
          <w:tcPr>
            <w:tcW w:w="2600" w:type="dxa"/>
            <w:shd w:val="clear" w:color="auto" w:fill="FFFFFF" w:themeFill="background1"/>
            <w:tcMar>
              <w:top w:w="60" w:type="dxa"/>
              <w:left w:w="120" w:type="dxa"/>
              <w:bottom w:w="60" w:type="dxa"/>
              <w:right w:w="120" w:type="dxa"/>
            </w:tcMar>
          </w:tcPr>
          <w:p w14:paraId="5BCAFCAB" w14:textId="403A4843"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Highmark — current members</w:t>
            </w:r>
          </w:p>
        </w:tc>
        <w:tc>
          <w:tcPr>
            <w:tcW w:w="3200" w:type="dxa"/>
            <w:shd w:val="clear" w:color="auto" w:fill="FFFFFF" w:themeFill="background1"/>
            <w:tcMar>
              <w:top w:w="60" w:type="dxa"/>
              <w:left w:w="120" w:type="dxa"/>
              <w:bottom w:w="60" w:type="dxa"/>
              <w:right w:w="120" w:type="dxa"/>
            </w:tcMar>
          </w:tcPr>
          <w:p w14:paraId="154C207D" w14:textId="16F30EBB"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1-800-550-8722</w:t>
            </w:r>
          </w:p>
        </w:tc>
        <w:tc>
          <w:tcPr>
            <w:tcW w:w="4280" w:type="dxa"/>
            <w:shd w:val="clear" w:color="auto" w:fill="FFFFFF" w:themeFill="background1"/>
            <w:tcMar>
              <w:top w:w="60" w:type="dxa"/>
              <w:left w:w="120" w:type="dxa"/>
              <w:bottom w:w="60" w:type="dxa"/>
              <w:right w:w="120" w:type="dxa"/>
            </w:tcMar>
          </w:tcPr>
          <w:p w14:paraId="24871242" w14:textId="0588E4FE"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highmarkbcbs.com</w:t>
            </w:r>
          </w:p>
        </w:tc>
      </w:tr>
      <w:tr w:rsidR="0039200B" w:rsidRPr="0016752A" w14:paraId="352407BB" w14:textId="77777777" w:rsidTr="0EC32285">
        <w:tc>
          <w:tcPr>
            <w:tcW w:w="2600" w:type="dxa"/>
            <w:shd w:val="clear" w:color="auto" w:fill="FFFFFF" w:themeFill="background1"/>
            <w:tcMar>
              <w:top w:w="60" w:type="dxa"/>
              <w:left w:w="120" w:type="dxa"/>
              <w:bottom w:w="60" w:type="dxa"/>
              <w:right w:w="120" w:type="dxa"/>
            </w:tcMar>
          </w:tcPr>
          <w:p w14:paraId="269A7130" w14:textId="6FC59B9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Highmark — prospective members</w:t>
            </w:r>
          </w:p>
        </w:tc>
        <w:tc>
          <w:tcPr>
            <w:tcW w:w="3200" w:type="dxa"/>
            <w:shd w:val="clear" w:color="auto" w:fill="FFFFFF" w:themeFill="background1"/>
            <w:tcMar>
              <w:top w:w="60" w:type="dxa"/>
              <w:left w:w="120" w:type="dxa"/>
              <w:bottom w:w="60" w:type="dxa"/>
              <w:right w:w="120" w:type="dxa"/>
            </w:tcMar>
          </w:tcPr>
          <w:p w14:paraId="0DF4F750" w14:textId="0AEE0BD4"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1-866-456-7739</w:t>
            </w:r>
          </w:p>
        </w:tc>
        <w:tc>
          <w:tcPr>
            <w:tcW w:w="4280" w:type="dxa"/>
            <w:shd w:val="clear" w:color="auto" w:fill="FFFFFF" w:themeFill="background1"/>
            <w:tcMar>
              <w:top w:w="60" w:type="dxa"/>
              <w:left w:w="120" w:type="dxa"/>
              <w:bottom w:w="60" w:type="dxa"/>
              <w:right w:w="120" w:type="dxa"/>
            </w:tcMar>
          </w:tcPr>
          <w:p w14:paraId="09C0665F" w14:textId="69488B1F"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highmarkbcbs.com • reference codes: Freedom Blue PPO Standard 23FB178453; Signature 65 with Blue Rx 23BRX197360</w:t>
            </w:r>
          </w:p>
        </w:tc>
      </w:tr>
      <w:tr w:rsidR="0039200B" w:rsidRPr="0016752A" w14:paraId="51B4D338" w14:textId="77777777" w:rsidTr="0EC32285">
        <w:tc>
          <w:tcPr>
            <w:tcW w:w="2600" w:type="dxa"/>
            <w:shd w:val="clear" w:color="auto" w:fill="FFFFFF" w:themeFill="background1"/>
            <w:tcMar>
              <w:top w:w="60" w:type="dxa"/>
              <w:left w:w="120" w:type="dxa"/>
              <w:bottom w:w="60" w:type="dxa"/>
              <w:right w:w="120" w:type="dxa"/>
            </w:tcMar>
          </w:tcPr>
          <w:p w14:paraId="424953C5" w14:textId="1F0E0C90"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United Concordia (dental)</w:t>
            </w:r>
          </w:p>
        </w:tc>
        <w:tc>
          <w:tcPr>
            <w:tcW w:w="3200" w:type="dxa"/>
            <w:shd w:val="clear" w:color="auto" w:fill="FFFFFF" w:themeFill="background1"/>
            <w:tcMar>
              <w:top w:w="60" w:type="dxa"/>
              <w:left w:w="120" w:type="dxa"/>
              <w:bottom w:w="60" w:type="dxa"/>
              <w:right w:w="120" w:type="dxa"/>
            </w:tcMar>
          </w:tcPr>
          <w:p w14:paraId="121F874F" w14:textId="7904C427"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1-877-215-3616</w:t>
            </w:r>
          </w:p>
        </w:tc>
        <w:tc>
          <w:tcPr>
            <w:tcW w:w="4280" w:type="dxa"/>
            <w:shd w:val="clear" w:color="auto" w:fill="FFFFFF" w:themeFill="background1"/>
            <w:tcMar>
              <w:top w:w="60" w:type="dxa"/>
              <w:left w:w="120" w:type="dxa"/>
              <w:bottom w:w="60" w:type="dxa"/>
              <w:right w:w="120" w:type="dxa"/>
            </w:tcMar>
          </w:tcPr>
          <w:p w14:paraId="5E9693E6" w14:textId="46E61630"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ucci.com • unitedconcordia.com</w:t>
            </w:r>
          </w:p>
        </w:tc>
      </w:tr>
      <w:tr w:rsidR="0039200B" w:rsidRPr="0016752A" w14:paraId="071CAA42" w14:textId="77777777" w:rsidTr="0EC32285">
        <w:tc>
          <w:tcPr>
            <w:tcW w:w="2600" w:type="dxa"/>
            <w:shd w:val="clear" w:color="auto" w:fill="FFFFFF" w:themeFill="background1"/>
            <w:tcMar>
              <w:top w:w="60" w:type="dxa"/>
              <w:left w:w="120" w:type="dxa"/>
              <w:bottom w:w="60" w:type="dxa"/>
              <w:right w:w="120" w:type="dxa"/>
            </w:tcMar>
          </w:tcPr>
          <w:p w14:paraId="2117DE11" w14:textId="03EDF96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Davis Vision by MetLife (vision)</w:t>
            </w:r>
          </w:p>
        </w:tc>
        <w:tc>
          <w:tcPr>
            <w:tcW w:w="3200" w:type="dxa"/>
            <w:shd w:val="clear" w:color="auto" w:fill="FFFFFF" w:themeFill="background1"/>
            <w:tcMar>
              <w:top w:w="60" w:type="dxa"/>
              <w:left w:w="120" w:type="dxa"/>
              <w:bottom w:w="60" w:type="dxa"/>
              <w:right w:w="120" w:type="dxa"/>
            </w:tcMar>
          </w:tcPr>
          <w:p w14:paraId="2BAEFA09" w14:textId="5B8555E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1-833-393-5433</w:t>
            </w:r>
          </w:p>
        </w:tc>
        <w:tc>
          <w:tcPr>
            <w:tcW w:w="4280" w:type="dxa"/>
            <w:shd w:val="clear" w:color="auto" w:fill="FFFFFF" w:themeFill="background1"/>
            <w:tcMar>
              <w:top w:w="60" w:type="dxa"/>
              <w:left w:w="120" w:type="dxa"/>
              <w:bottom w:w="60" w:type="dxa"/>
              <w:right w:w="120" w:type="dxa"/>
            </w:tcMar>
          </w:tcPr>
          <w:p w14:paraId="72BAE629" w14:textId="253C8FCD"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metlife.com/mybenefits</w:t>
            </w:r>
          </w:p>
        </w:tc>
      </w:tr>
      <w:tr w:rsidR="0039200B" w:rsidRPr="0016752A" w14:paraId="379A9FC5" w14:textId="77777777" w:rsidTr="0EC32285">
        <w:tc>
          <w:tcPr>
            <w:tcW w:w="2600" w:type="dxa"/>
            <w:shd w:val="clear" w:color="auto" w:fill="FFFFFF" w:themeFill="background1"/>
            <w:tcMar>
              <w:top w:w="60" w:type="dxa"/>
              <w:left w:w="120" w:type="dxa"/>
              <w:bottom w:w="60" w:type="dxa"/>
              <w:right w:w="120" w:type="dxa"/>
            </w:tcMar>
          </w:tcPr>
          <w:p w14:paraId="71BC6716" w14:textId="1F65770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lastRenderedPageBreak/>
              <w:t>The Hartford (life, through 6/30/26)</w:t>
            </w:r>
          </w:p>
        </w:tc>
        <w:tc>
          <w:tcPr>
            <w:tcW w:w="3200" w:type="dxa"/>
            <w:shd w:val="clear" w:color="auto" w:fill="FFFFFF" w:themeFill="background1"/>
            <w:tcMar>
              <w:top w:w="60" w:type="dxa"/>
              <w:left w:w="120" w:type="dxa"/>
              <w:bottom w:w="60" w:type="dxa"/>
              <w:right w:w="120" w:type="dxa"/>
            </w:tcMar>
          </w:tcPr>
          <w:p w14:paraId="63CBB146" w14:textId="12931870"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claims 1-888-755-1503 • coverage/beneficiary 1-855-396-7655 • portability/conversion 1-877-320-0484</w:t>
            </w:r>
          </w:p>
        </w:tc>
        <w:tc>
          <w:tcPr>
            <w:tcW w:w="4280" w:type="dxa"/>
            <w:shd w:val="clear" w:color="auto" w:fill="FFFFFF" w:themeFill="background1"/>
            <w:tcMar>
              <w:top w:w="60" w:type="dxa"/>
              <w:left w:w="120" w:type="dxa"/>
              <w:bottom w:w="60" w:type="dxa"/>
              <w:right w:w="120" w:type="dxa"/>
            </w:tcMar>
          </w:tcPr>
          <w:p w14:paraId="185CB50E" w14:textId="301D4792"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enroll.thehartfordatwork.com/upittbene</w:t>
            </w:r>
          </w:p>
        </w:tc>
      </w:tr>
      <w:tr w:rsidR="0039200B" w:rsidRPr="0016752A" w14:paraId="79233FEC" w14:textId="77777777" w:rsidTr="0EC32285">
        <w:tc>
          <w:tcPr>
            <w:tcW w:w="2600" w:type="dxa"/>
            <w:shd w:val="clear" w:color="auto" w:fill="FFFFFF" w:themeFill="background1"/>
            <w:tcMar>
              <w:top w:w="60" w:type="dxa"/>
              <w:left w:w="120" w:type="dxa"/>
              <w:bottom w:w="60" w:type="dxa"/>
              <w:right w:w="120" w:type="dxa"/>
            </w:tcMar>
          </w:tcPr>
          <w:p w14:paraId="41F01F8F" w14:textId="6E4F7F6F"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Securian Financial (life, from 7/1/26)</w:t>
            </w:r>
          </w:p>
        </w:tc>
        <w:tc>
          <w:tcPr>
            <w:tcW w:w="3200" w:type="dxa"/>
            <w:shd w:val="clear" w:color="auto" w:fill="FFFFFF" w:themeFill="background1"/>
            <w:tcMar>
              <w:top w:w="60" w:type="dxa"/>
              <w:left w:w="120" w:type="dxa"/>
              <w:bottom w:w="60" w:type="dxa"/>
              <w:right w:w="120" w:type="dxa"/>
            </w:tcMar>
          </w:tcPr>
          <w:p w14:paraId="33F7865E" w14:textId="7AD8A587"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claims 1-888-658-0193 • coverage/beneficiary 1-877-491-5265 • portability/conversion 1-833-365-0326</w:t>
            </w:r>
          </w:p>
        </w:tc>
        <w:tc>
          <w:tcPr>
            <w:tcW w:w="4280" w:type="dxa"/>
            <w:shd w:val="clear" w:color="auto" w:fill="FFFFFF" w:themeFill="background1"/>
            <w:tcMar>
              <w:top w:w="60" w:type="dxa"/>
              <w:left w:w="120" w:type="dxa"/>
              <w:bottom w:w="60" w:type="dxa"/>
              <w:right w:w="120" w:type="dxa"/>
            </w:tcMar>
          </w:tcPr>
          <w:p w14:paraId="39EAA0B0" w14:textId="645334EF"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securian.com/pitt-insurance</w:t>
            </w:r>
          </w:p>
        </w:tc>
      </w:tr>
      <w:tr w:rsidR="0039200B" w:rsidRPr="0016752A" w14:paraId="0333D6C1" w14:textId="77777777" w:rsidTr="0EC32285">
        <w:tc>
          <w:tcPr>
            <w:tcW w:w="2600" w:type="dxa"/>
            <w:shd w:val="clear" w:color="auto" w:fill="FFFFFF" w:themeFill="background1"/>
            <w:tcMar>
              <w:top w:w="60" w:type="dxa"/>
              <w:left w:w="120" w:type="dxa"/>
              <w:bottom w:w="60" w:type="dxa"/>
              <w:right w:w="120" w:type="dxa"/>
            </w:tcMar>
          </w:tcPr>
          <w:p w14:paraId="58584595" w14:textId="6722AFA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TIAA</w:t>
            </w:r>
          </w:p>
        </w:tc>
        <w:tc>
          <w:tcPr>
            <w:tcW w:w="3200" w:type="dxa"/>
            <w:shd w:val="clear" w:color="auto" w:fill="FFFFFF" w:themeFill="background1"/>
            <w:tcMar>
              <w:top w:w="60" w:type="dxa"/>
              <w:left w:w="120" w:type="dxa"/>
              <w:bottom w:w="60" w:type="dxa"/>
              <w:right w:w="120" w:type="dxa"/>
            </w:tcMar>
          </w:tcPr>
          <w:p w14:paraId="4D7240EA" w14:textId="38B8A887"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1-800-682-9139</w:t>
            </w:r>
          </w:p>
        </w:tc>
        <w:tc>
          <w:tcPr>
            <w:tcW w:w="4280" w:type="dxa"/>
            <w:shd w:val="clear" w:color="auto" w:fill="FFFFFF" w:themeFill="background1"/>
            <w:tcMar>
              <w:top w:w="60" w:type="dxa"/>
              <w:left w:w="120" w:type="dxa"/>
              <w:bottom w:w="60" w:type="dxa"/>
              <w:right w:w="120" w:type="dxa"/>
            </w:tcMar>
          </w:tcPr>
          <w:p w14:paraId="33313E67" w14:textId="1F26123F"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tiaa.org/pitt</w:t>
            </w:r>
          </w:p>
        </w:tc>
      </w:tr>
      <w:tr w:rsidR="0039200B" w:rsidRPr="0016752A" w14:paraId="698AAAC6" w14:textId="77777777" w:rsidTr="0EC32285">
        <w:tc>
          <w:tcPr>
            <w:tcW w:w="2600" w:type="dxa"/>
            <w:shd w:val="clear" w:color="auto" w:fill="FFFFFF" w:themeFill="background1"/>
            <w:tcMar>
              <w:top w:w="60" w:type="dxa"/>
              <w:left w:w="120" w:type="dxa"/>
              <w:bottom w:w="60" w:type="dxa"/>
              <w:right w:w="120" w:type="dxa"/>
            </w:tcMar>
          </w:tcPr>
          <w:p w14:paraId="76C25BB6" w14:textId="1296AE24"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Pension Administration Center — Defined Benefit Plan</w:t>
            </w:r>
          </w:p>
        </w:tc>
        <w:tc>
          <w:tcPr>
            <w:tcW w:w="3200" w:type="dxa"/>
            <w:shd w:val="clear" w:color="auto" w:fill="FFFFFF" w:themeFill="background1"/>
            <w:tcMar>
              <w:top w:w="60" w:type="dxa"/>
              <w:left w:w="120" w:type="dxa"/>
              <w:bottom w:w="60" w:type="dxa"/>
              <w:right w:w="120" w:type="dxa"/>
            </w:tcMar>
          </w:tcPr>
          <w:p w14:paraId="19455EC4" w14:textId="39A357D8"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1-866-283-0208</w:t>
            </w:r>
          </w:p>
        </w:tc>
        <w:tc>
          <w:tcPr>
            <w:tcW w:w="4280" w:type="dxa"/>
            <w:shd w:val="clear" w:color="auto" w:fill="FFFFFF" w:themeFill="background1"/>
            <w:tcMar>
              <w:top w:w="60" w:type="dxa"/>
              <w:left w:w="120" w:type="dxa"/>
              <w:bottom w:w="60" w:type="dxa"/>
              <w:right w:w="120" w:type="dxa"/>
            </w:tcMar>
          </w:tcPr>
          <w:p w14:paraId="1551432C" w14:textId="4A6DDF39"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University Pension Center — noncontributory defined benefit plan</w:t>
            </w:r>
          </w:p>
        </w:tc>
      </w:tr>
      <w:tr w:rsidR="0039200B" w:rsidRPr="0016752A" w14:paraId="0B5DCCFF" w14:textId="77777777" w:rsidTr="0EC32285">
        <w:tc>
          <w:tcPr>
            <w:tcW w:w="2600" w:type="dxa"/>
            <w:shd w:val="clear" w:color="auto" w:fill="FFFFFF" w:themeFill="background1"/>
            <w:tcMar>
              <w:top w:w="60" w:type="dxa"/>
              <w:left w:w="120" w:type="dxa"/>
              <w:bottom w:w="60" w:type="dxa"/>
              <w:right w:w="120" w:type="dxa"/>
            </w:tcMar>
          </w:tcPr>
          <w:p w14:paraId="07C66C30" w14:textId="74195ACE"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Amplifon (hearing aids)</w:t>
            </w:r>
          </w:p>
        </w:tc>
        <w:tc>
          <w:tcPr>
            <w:tcW w:w="3200" w:type="dxa"/>
            <w:shd w:val="clear" w:color="auto" w:fill="FFFFFF" w:themeFill="background1"/>
            <w:tcMar>
              <w:top w:w="60" w:type="dxa"/>
              <w:left w:w="120" w:type="dxa"/>
              <w:bottom w:w="60" w:type="dxa"/>
              <w:right w:w="120" w:type="dxa"/>
            </w:tcMar>
          </w:tcPr>
          <w:p w14:paraId="62312362" w14:textId="0BBD8D8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866-978-9379</w:t>
            </w:r>
          </w:p>
        </w:tc>
        <w:tc>
          <w:tcPr>
            <w:tcW w:w="4280" w:type="dxa"/>
            <w:shd w:val="clear" w:color="auto" w:fill="FFFFFF" w:themeFill="background1"/>
            <w:tcMar>
              <w:top w:w="60" w:type="dxa"/>
              <w:left w:w="120" w:type="dxa"/>
              <w:bottom w:w="60" w:type="dxa"/>
              <w:right w:w="120" w:type="dxa"/>
            </w:tcMar>
          </w:tcPr>
          <w:p w14:paraId="12275E6A" w14:textId="01EAE463"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www.amplifonusa.com/pitt</w:t>
            </w:r>
          </w:p>
        </w:tc>
      </w:tr>
      <w:tr w:rsidR="0039200B" w:rsidRPr="0016752A" w14:paraId="1C9C2446" w14:textId="77777777" w:rsidTr="0EC32285">
        <w:tc>
          <w:tcPr>
            <w:tcW w:w="2600" w:type="dxa"/>
            <w:shd w:val="clear" w:color="auto" w:fill="FFFFFF" w:themeFill="background1"/>
            <w:tcMar>
              <w:top w:w="60" w:type="dxa"/>
              <w:left w:w="120" w:type="dxa"/>
              <w:bottom w:w="60" w:type="dxa"/>
              <w:right w:w="120" w:type="dxa"/>
            </w:tcMar>
          </w:tcPr>
          <w:p w14:paraId="288E06DD" w14:textId="2B485EDE"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PA MEDI (Medicare counseling)</w:t>
            </w:r>
          </w:p>
        </w:tc>
        <w:tc>
          <w:tcPr>
            <w:tcW w:w="3200" w:type="dxa"/>
            <w:shd w:val="clear" w:color="auto" w:fill="FFFFFF" w:themeFill="background1"/>
            <w:tcMar>
              <w:top w:w="60" w:type="dxa"/>
              <w:left w:w="120" w:type="dxa"/>
              <w:bottom w:w="60" w:type="dxa"/>
              <w:right w:w="120" w:type="dxa"/>
            </w:tcMar>
          </w:tcPr>
          <w:p w14:paraId="6BAA16E9" w14:textId="126C274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helpline 1-800-783-7067 • Allegheny County 412-661-1438</w:t>
            </w:r>
          </w:p>
        </w:tc>
        <w:tc>
          <w:tcPr>
            <w:tcW w:w="4280" w:type="dxa"/>
            <w:shd w:val="clear" w:color="auto" w:fill="FFFFFF" w:themeFill="background1"/>
            <w:tcMar>
              <w:top w:w="60" w:type="dxa"/>
              <w:left w:w="120" w:type="dxa"/>
              <w:bottom w:w="60" w:type="dxa"/>
              <w:right w:w="120" w:type="dxa"/>
            </w:tcMar>
          </w:tcPr>
          <w:p w14:paraId="773DE58C" w14:textId="5A2B4A8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www.aging.pa.gov/aging-services/medicare-counseling</w:t>
            </w:r>
          </w:p>
        </w:tc>
      </w:tr>
      <w:tr w:rsidR="0039200B" w:rsidRPr="0016752A" w14:paraId="2D8389AA" w14:textId="77777777" w:rsidTr="0EC32285">
        <w:tc>
          <w:tcPr>
            <w:tcW w:w="2600" w:type="dxa"/>
            <w:shd w:val="clear" w:color="auto" w:fill="FFFFFF" w:themeFill="background1"/>
            <w:tcMar>
              <w:top w:w="60" w:type="dxa"/>
              <w:left w:w="120" w:type="dxa"/>
              <w:bottom w:w="60" w:type="dxa"/>
              <w:right w:w="120" w:type="dxa"/>
            </w:tcMar>
          </w:tcPr>
          <w:p w14:paraId="2D284103" w14:textId="49D6C2F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Medicare</w:t>
            </w:r>
          </w:p>
        </w:tc>
        <w:tc>
          <w:tcPr>
            <w:tcW w:w="3200" w:type="dxa"/>
            <w:shd w:val="clear" w:color="auto" w:fill="FFFFFF" w:themeFill="background1"/>
            <w:tcMar>
              <w:top w:w="60" w:type="dxa"/>
              <w:left w:w="120" w:type="dxa"/>
              <w:bottom w:w="60" w:type="dxa"/>
              <w:right w:w="120" w:type="dxa"/>
            </w:tcMar>
          </w:tcPr>
          <w:p w14:paraId="7C52D0AD" w14:textId="4F020765"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1-800-633-4227</w:t>
            </w:r>
          </w:p>
        </w:tc>
        <w:tc>
          <w:tcPr>
            <w:tcW w:w="4280" w:type="dxa"/>
            <w:shd w:val="clear" w:color="auto" w:fill="FFFFFF" w:themeFill="background1"/>
            <w:tcMar>
              <w:top w:w="60" w:type="dxa"/>
              <w:left w:w="120" w:type="dxa"/>
              <w:bottom w:w="60" w:type="dxa"/>
              <w:right w:w="120" w:type="dxa"/>
            </w:tcMar>
          </w:tcPr>
          <w:p w14:paraId="101C6CB8" w14:textId="1BE29818"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www.medicare.gov • medicare.gov/basics/costs</w:t>
            </w:r>
          </w:p>
        </w:tc>
      </w:tr>
      <w:tr w:rsidR="0039200B" w:rsidRPr="0016752A" w14:paraId="5EF323CE" w14:textId="77777777" w:rsidTr="0EC32285">
        <w:tc>
          <w:tcPr>
            <w:tcW w:w="2600" w:type="dxa"/>
            <w:shd w:val="clear" w:color="auto" w:fill="FFFFFF" w:themeFill="background1"/>
            <w:tcMar>
              <w:top w:w="60" w:type="dxa"/>
              <w:left w:w="120" w:type="dxa"/>
              <w:bottom w:w="60" w:type="dxa"/>
              <w:right w:w="120" w:type="dxa"/>
            </w:tcMar>
          </w:tcPr>
          <w:p w14:paraId="2A4508CA" w14:textId="5EF1817F"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Social Security Administration</w:t>
            </w:r>
          </w:p>
        </w:tc>
        <w:tc>
          <w:tcPr>
            <w:tcW w:w="3200" w:type="dxa"/>
            <w:shd w:val="clear" w:color="auto" w:fill="FFFFFF" w:themeFill="background1"/>
            <w:tcMar>
              <w:top w:w="60" w:type="dxa"/>
              <w:left w:w="120" w:type="dxa"/>
              <w:bottom w:w="60" w:type="dxa"/>
              <w:right w:w="120" w:type="dxa"/>
            </w:tcMar>
          </w:tcPr>
          <w:p w14:paraId="356EF28B" w14:textId="7201C87D"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1-800-772-1213</w:t>
            </w:r>
          </w:p>
        </w:tc>
        <w:tc>
          <w:tcPr>
            <w:tcW w:w="4280" w:type="dxa"/>
            <w:shd w:val="clear" w:color="auto" w:fill="FFFFFF" w:themeFill="background1"/>
            <w:tcMar>
              <w:top w:w="60" w:type="dxa"/>
              <w:left w:w="120" w:type="dxa"/>
              <w:bottom w:w="60" w:type="dxa"/>
              <w:right w:w="120" w:type="dxa"/>
            </w:tcMar>
          </w:tcPr>
          <w:p w14:paraId="7C5B8B12" w14:textId="49755E11" w:rsidR="0039200B" w:rsidRPr="0016752A" w:rsidRDefault="0039200B" w:rsidP="0EC32285">
            <w:pPr>
              <w:spacing w:before="60" w:after="60" w:line="230" w:lineRule="auto"/>
              <w:rPr>
                <w:rFonts w:ascii="Arial" w:eastAsiaTheme="majorEastAsia" w:hAnsi="Arial" w:cs="Arial"/>
                <w:color w:val="333333"/>
                <w:sz w:val="19"/>
                <w:szCs w:val="19"/>
              </w:rPr>
            </w:pPr>
            <w:r w:rsidRPr="0EC32285">
              <w:rPr>
                <w:rFonts w:ascii="Arial" w:eastAsiaTheme="majorEastAsia" w:hAnsi="Arial" w:cs="Arial"/>
                <w:color w:val="333333"/>
                <w:sz w:val="19"/>
                <w:szCs w:val="19"/>
              </w:rPr>
              <w:t>www.socialsecurity.gov • estimator: /estimator • online enrollment: /applyforbenefits</w:t>
            </w:r>
          </w:p>
        </w:tc>
      </w:tr>
    </w:tbl>
    <w:p w14:paraId="6BBDA635" w14:textId="77777777" w:rsidR="0039200B" w:rsidRPr="0016752A" w:rsidRDefault="0039200B" w:rsidP="0016752A">
      <w:pPr>
        <w:spacing w:before="60" w:after="60" w:line="250" w:lineRule="auto"/>
        <w:rPr>
          <w:rFonts w:ascii="Arial" w:hAnsi="Arial" w:cs="Arial"/>
          <w:color w:val="333333"/>
          <w:sz w:val="20"/>
        </w:rPr>
      </w:pPr>
    </w:p>
    <w:p w14:paraId="48FB8361" w14:textId="1A1FBDC5" w:rsidR="0039200B" w:rsidRPr="0016752A" w:rsidRDefault="0039200B" w:rsidP="0EC32285">
      <w:pPr>
        <w:spacing w:before="60" w:after="60" w:line="230" w:lineRule="auto"/>
        <w:rPr>
          <w:rFonts w:ascii="Arial" w:hAnsi="Arial" w:cs="Arial"/>
          <w:color w:val="333333"/>
          <w:sz w:val="20"/>
          <w:szCs w:val="20"/>
        </w:rPr>
      </w:pPr>
      <w:r w:rsidRPr="0EC32285">
        <w:rPr>
          <w:rFonts w:ascii="Arial" w:hAnsi="Arial" w:cs="Arial"/>
          <w:color w:val="333333"/>
          <w:sz w:val="20"/>
          <w:szCs w:val="20"/>
        </w:rPr>
        <w:t xml:space="preserve">The information presented is intended solely for general educational and informational purposes and provides an overview and discussion of </w:t>
      </w:r>
      <w:proofErr w:type="gramStart"/>
      <w:r w:rsidRPr="0EC32285">
        <w:rPr>
          <w:rFonts w:ascii="Arial" w:hAnsi="Arial" w:cs="Arial"/>
          <w:color w:val="333333"/>
          <w:sz w:val="20"/>
          <w:szCs w:val="20"/>
        </w:rPr>
        <w:t>University</w:t>
      </w:r>
      <w:proofErr w:type="gramEnd"/>
      <w:r w:rsidRPr="0EC32285">
        <w:rPr>
          <w:rFonts w:ascii="Arial" w:hAnsi="Arial" w:cs="Arial"/>
          <w:color w:val="333333"/>
          <w:sz w:val="20"/>
          <w:szCs w:val="20"/>
        </w:rPr>
        <w:t xml:space="preserve"> benefit plans and related policies. It does not replace or override any official plan documents, University policies, established procedures, or contracts with insurance carriers. In all instances the terms and provisions of the official plan documents, University policies, and applicable contracts govern and supersede the information provided. The benefit plans are based on and regulated by current federal and state laws. If there is any conflict between this information and the official plan documents or contracts, the official plan documents and contracts control. Benefits may be modified as required by changes in applicable </w:t>
      </w:r>
      <w:proofErr w:type="gramStart"/>
      <w:r w:rsidRPr="0EC32285">
        <w:rPr>
          <w:rFonts w:ascii="Arial" w:hAnsi="Arial" w:cs="Arial"/>
          <w:color w:val="333333"/>
          <w:sz w:val="20"/>
          <w:szCs w:val="20"/>
        </w:rPr>
        <w:t>laws, or</w:t>
      </w:r>
      <w:proofErr w:type="gramEnd"/>
      <w:r w:rsidRPr="0EC32285">
        <w:rPr>
          <w:rFonts w:ascii="Arial" w:hAnsi="Arial" w:cs="Arial"/>
          <w:color w:val="333333"/>
          <w:sz w:val="20"/>
          <w:szCs w:val="20"/>
        </w:rPr>
        <w:t xml:space="preserve"> modified or terminated as deemed necessary or appropriate by the University; any such changes will be communicated in writing when appropriate. No one speaking on behalf of the plans, or purporting to do so, has authority to modify the terms of the plans in any way. The plan documents govern in all cases.</w:t>
      </w:r>
    </w:p>
    <w:p w14:paraId="35BF2A18" w14:textId="0CCE1BDD" w:rsidR="0039200B" w:rsidRPr="0016752A" w:rsidRDefault="28296609" w:rsidP="0EC32285">
      <w:pPr>
        <w:spacing w:before="60" w:after="60" w:line="230" w:lineRule="auto"/>
        <w:rPr>
          <w:rFonts w:ascii="Arial" w:hAnsi="Arial" w:cs="Arial"/>
          <w:color w:val="333333"/>
          <w:sz w:val="20"/>
          <w:szCs w:val="20"/>
        </w:rPr>
      </w:pPr>
      <w:r w:rsidRPr="0EC32285">
        <w:rPr>
          <w:rFonts w:ascii="Arial" w:hAnsi="Arial" w:cs="Arial"/>
          <w:color w:val="333333"/>
          <w:sz w:val="20"/>
          <w:szCs w:val="20"/>
        </w:rPr>
        <w:t>Employees who are members of a collective bargaining unit should refer to their collective bargaining agreements for specific guidance regarding their benefits, as those agreements may include provisions that differ from or take precedence over the information discussed. Employees may obtain additional descriptive materials from the carriers and the Office of Human Resources; further details are at hr.pitt.edu/benefits.</w:t>
      </w:r>
    </w:p>
    <w:p w14:paraId="00E81C0B" w14:textId="514AF9DD" w:rsidR="00AD01C2" w:rsidRPr="0016752A" w:rsidRDefault="00AD01C2" w:rsidP="0016752A">
      <w:pPr>
        <w:spacing w:before="60" w:after="60" w:line="250" w:lineRule="auto"/>
        <w:rPr>
          <w:rFonts w:ascii="Arial" w:hAnsi="Arial" w:cs="Arial"/>
          <w:color w:val="333333"/>
          <w:sz w:val="20"/>
        </w:rPr>
      </w:pPr>
    </w:p>
    <w:sectPr w:rsidR="00AD01C2" w:rsidRPr="0016752A" w:rsidSect="0016752A">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34C5" w14:textId="77777777" w:rsidR="006667DA" w:rsidRDefault="006667DA" w:rsidP="0039200B">
      <w:pPr>
        <w:spacing w:after="0" w:line="240" w:lineRule="auto"/>
      </w:pPr>
      <w:r>
        <w:separator/>
      </w:r>
    </w:p>
  </w:endnote>
  <w:endnote w:type="continuationSeparator" w:id="0">
    <w:p w14:paraId="2F25DB7B" w14:textId="77777777" w:rsidR="006667DA" w:rsidRDefault="006667DA" w:rsidP="00392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0F70" w14:textId="77777777" w:rsidR="0039200B" w:rsidRDefault="003920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FB8A" w14:textId="77777777" w:rsidR="0039200B" w:rsidRDefault="00392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6EB0" w14:textId="77777777" w:rsidR="0039200B" w:rsidRDefault="00392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CD5FB" w14:textId="77777777" w:rsidR="006667DA" w:rsidRDefault="006667DA" w:rsidP="0039200B">
      <w:pPr>
        <w:spacing w:after="0" w:line="240" w:lineRule="auto"/>
      </w:pPr>
      <w:r>
        <w:separator/>
      </w:r>
    </w:p>
  </w:footnote>
  <w:footnote w:type="continuationSeparator" w:id="0">
    <w:p w14:paraId="0035BAC7" w14:textId="77777777" w:rsidR="006667DA" w:rsidRDefault="006667DA" w:rsidP="003920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65E2" w14:textId="77777777" w:rsidR="0039200B" w:rsidRDefault="00392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EF663" w14:textId="77777777" w:rsidR="0039200B" w:rsidRDefault="003920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ADEA" w14:textId="77777777" w:rsidR="0039200B" w:rsidRDefault="00392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46242E"/>
    <w:lvl w:ilvl="0">
      <w:start w:val="1"/>
      <w:numFmt w:val="bullet"/>
      <w:pStyle w:val="ListBullet"/>
      <w:lvlText w:val=""/>
      <w:lvlJc w:val="left"/>
      <w:pPr>
        <w:tabs>
          <w:tab w:val="num" w:pos="360"/>
        </w:tabs>
        <w:ind w:left="360" w:hanging="360"/>
      </w:pPr>
      <w:rPr>
        <w:rFonts w:ascii="Symbol" w:hAnsi="Symbol" w:hint="default"/>
      </w:rPr>
    </w:lvl>
  </w:abstractNum>
  <w:num w:numId="1" w16cid:durableId="919213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00B"/>
    <w:rsid w:val="00002385"/>
    <w:rsid w:val="00057CCD"/>
    <w:rsid w:val="000E582F"/>
    <w:rsid w:val="001100B7"/>
    <w:rsid w:val="0014654E"/>
    <w:rsid w:val="0016752A"/>
    <w:rsid w:val="001A7B9F"/>
    <w:rsid w:val="00237239"/>
    <w:rsid w:val="00257D5B"/>
    <w:rsid w:val="002814E5"/>
    <w:rsid w:val="00297DD3"/>
    <w:rsid w:val="0039200B"/>
    <w:rsid w:val="003A6E94"/>
    <w:rsid w:val="00415037"/>
    <w:rsid w:val="00424F50"/>
    <w:rsid w:val="00483C4C"/>
    <w:rsid w:val="0049213C"/>
    <w:rsid w:val="004D024F"/>
    <w:rsid w:val="00516F8E"/>
    <w:rsid w:val="005669B7"/>
    <w:rsid w:val="005B16DB"/>
    <w:rsid w:val="005B3F17"/>
    <w:rsid w:val="005C7FCB"/>
    <w:rsid w:val="006106A8"/>
    <w:rsid w:val="006667DA"/>
    <w:rsid w:val="006A1938"/>
    <w:rsid w:val="006B4911"/>
    <w:rsid w:val="006E707B"/>
    <w:rsid w:val="00701802"/>
    <w:rsid w:val="0079154F"/>
    <w:rsid w:val="007A67A1"/>
    <w:rsid w:val="00827ECC"/>
    <w:rsid w:val="008469C3"/>
    <w:rsid w:val="008A08D8"/>
    <w:rsid w:val="008F3791"/>
    <w:rsid w:val="00934D93"/>
    <w:rsid w:val="00943D96"/>
    <w:rsid w:val="009A2954"/>
    <w:rsid w:val="009A41EE"/>
    <w:rsid w:val="009D2FEE"/>
    <w:rsid w:val="00A3725D"/>
    <w:rsid w:val="00A54E2F"/>
    <w:rsid w:val="00A568C8"/>
    <w:rsid w:val="00AB21B6"/>
    <w:rsid w:val="00AD01C2"/>
    <w:rsid w:val="00AD54A7"/>
    <w:rsid w:val="00B14C58"/>
    <w:rsid w:val="00BB4211"/>
    <w:rsid w:val="00BF02A8"/>
    <w:rsid w:val="00C57C65"/>
    <w:rsid w:val="00C815A4"/>
    <w:rsid w:val="00C8541B"/>
    <w:rsid w:val="00CA1043"/>
    <w:rsid w:val="00CD1D66"/>
    <w:rsid w:val="00CF3D0D"/>
    <w:rsid w:val="00D411FF"/>
    <w:rsid w:val="00D46844"/>
    <w:rsid w:val="00D831E3"/>
    <w:rsid w:val="00D929D4"/>
    <w:rsid w:val="00DB3EE8"/>
    <w:rsid w:val="00DD4187"/>
    <w:rsid w:val="00E25C83"/>
    <w:rsid w:val="00E329C1"/>
    <w:rsid w:val="00E51A0E"/>
    <w:rsid w:val="00E66CCE"/>
    <w:rsid w:val="00E83CDE"/>
    <w:rsid w:val="00ED7009"/>
    <w:rsid w:val="00F15484"/>
    <w:rsid w:val="00F8775F"/>
    <w:rsid w:val="00FD2B4D"/>
    <w:rsid w:val="00FE1BF2"/>
    <w:rsid w:val="04F53CB3"/>
    <w:rsid w:val="0A259134"/>
    <w:rsid w:val="0AB2AC2E"/>
    <w:rsid w:val="0ACDE180"/>
    <w:rsid w:val="0C08398B"/>
    <w:rsid w:val="0E954F79"/>
    <w:rsid w:val="0EC32285"/>
    <w:rsid w:val="0F9F5736"/>
    <w:rsid w:val="0FDB43C4"/>
    <w:rsid w:val="12D617DB"/>
    <w:rsid w:val="19538455"/>
    <w:rsid w:val="1D3CBEB9"/>
    <w:rsid w:val="20094585"/>
    <w:rsid w:val="203A261D"/>
    <w:rsid w:val="266DA53E"/>
    <w:rsid w:val="28296609"/>
    <w:rsid w:val="28C1ABCA"/>
    <w:rsid w:val="29A9798E"/>
    <w:rsid w:val="2C119E5F"/>
    <w:rsid w:val="2D8E8D4E"/>
    <w:rsid w:val="2E6967C9"/>
    <w:rsid w:val="3181FD34"/>
    <w:rsid w:val="32299829"/>
    <w:rsid w:val="33B4B05F"/>
    <w:rsid w:val="3E54D3B1"/>
    <w:rsid w:val="41ED527D"/>
    <w:rsid w:val="44270C1C"/>
    <w:rsid w:val="458FFBB4"/>
    <w:rsid w:val="47B3C63F"/>
    <w:rsid w:val="4A3360AA"/>
    <w:rsid w:val="4A60CAD3"/>
    <w:rsid w:val="522ACB12"/>
    <w:rsid w:val="52FC43E7"/>
    <w:rsid w:val="5316ED31"/>
    <w:rsid w:val="569E34C2"/>
    <w:rsid w:val="5710C64A"/>
    <w:rsid w:val="58DE98EF"/>
    <w:rsid w:val="5938F74A"/>
    <w:rsid w:val="5A6FA58F"/>
    <w:rsid w:val="5E0A835E"/>
    <w:rsid w:val="66E8F69A"/>
    <w:rsid w:val="6A44C5FD"/>
    <w:rsid w:val="726988B2"/>
    <w:rsid w:val="72E2B6AB"/>
    <w:rsid w:val="742464EA"/>
    <w:rsid w:val="748EADAC"/>
    <w:rsid w:val="7BB3626C"/>
    <w:rsid w:val="7D9FF3D8"/>
    <w:rsid w:val="7E462AF2"/>
    <w:rsid w:val="7E5DA1DC"/>
    <w:rsid w:val="7FEF91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AA63"/>
  <w15:chartTrackingRefBased/>
  <w15:docId w15:val="{EC307A1C-47F2-4588-9C47-1FE1C40E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20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2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00B"/>
    <w:rPr>
      <w:rFonts w:eastAsiaTheme="majorEastAsia" w:cstheme="majorBidi"/>
      <w:color w:val="272727" w:themeColor="text1" w:themeTint="D8"/>
    </w:rPr>
  </w:style>
  <w:style w:type="paragraph" w:styleId="Title">
    <w:name w:val="Title"/>
    <w:basedOn w:val="Normal"/>
    <w:next w:val="Normal"/>
    <w:link w:val="TitleChar"/>
    <w:uiPriority w:val="10"/>
    <w:qFormat/>
    <w:rsid w:val="00392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00B"/>
    <w:pPr>
      <w:spacing w:before="160"/>
      <w:jc w:val="center"/>
    </w:pPr>
    <w:rPr>
      <w:i/>
      <w:iCs/>
      <w:color w:val="404040" w:themeColor="text1" w:themeTint="BF"/>
    </w:rPr>
  </w:style>
  <w:style w:type="character" w:customStyle="1" w:styleId="QuoteChar">
    <w:name w:val="Quote Char"/>
    <w:basedOn w:val="DefaultParagraphFont"/>
    <w:link w:val="Quote"/>
    <w:uiPriority w:val="29"/>
    <w:rsid w:val="0039200B"/>
    <w:rPr>
      <w:i/>
      <w:iCs/>
      <w:color w:val="404040" w:themeColor="text1" w:themeTint="BF"/>
    </w:rPr>
  </w:style>
  <w:style w:type="paragraph" w:styleId="ListParagraph">
    <w:name w:val="List Paragraph"/>
    <w:basedOn w:val="Normal"/>
    <w:uiPriority w:val="34"/>
    <w:qFormat/>
    <w:rsid w:val="0039200B"/>
    <w:pPr>
      <w:ind w:left="720"/>
      <w:contextualSpacing/>
    </w:pPr>
  </w:style>
  <w:style w:type="character" w:styleId="IntenseEmphasis">
    <w:name w:val="Intense Emphasis"/>
    <w:basedOn w:val="DefaultParagraphFont"/>
    <w:uiPriority w:val="21"/>
    <w:qFormat/>
    <w:rsid w:val="0039200B"/>
    <w:rPr>
      <w:i/>
      <w:iCs/>
      <w:color w:val="0F4761" w:themeColor="accent1" w:themeShade="BF"/>
    </w:rPr>
  </w:style>
  <w:style w:type="paragraph" w:styleId="IntenseQuote">
    <w:name w:val="Intense Quote"/>
    <w:basedOn w:val="Normal"/>
    <w:next w:val="Normal"/>
    <w:link w:val="IntenseQuoteChar"/>
    <w:uiPriority w:val="30"/>
    <w:qFormat/>
    <w:rsid w:val="00392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00B"/>
    <w:rPr>
      <w:i/>
      <w:iCs/>
      <w:color w:val="0F4761" w:themeColor="accent1" w:themeShade="BF"/>
    </w:rPr>
  </w:style>
  <w:style w:type="character" w:styleId="IntenseReference">
    <w:name w:val="Intense Reference"/>
    <w:basedOn w:val="DefaultParagraphFont"/>
    <w:uiPriority w:val="32"/>
    <w:qFormat/>
    <w:rsid w:val="0039200B"/>
    <w:rPr>
      <w:b/>
      <w:bCs/>
      <w:smallCaps/>
      <w:color w:val="0F4761" w:themeColor="accent1" w:themeShade="BF"/>
      <w:spacing w:val="5"/>
    </w:rPr>
  </w:style>
  <w:style w:type="paragraph" w:styleId="Header">
    <w:name w:val="header"/>
    <w:basedOn w:val="Normal"/>
    <w:link w:val="HeaderChar"/>
    <w:uiPriority w:val="99"/>
    <w:unhideWhenUsed/>
    <w:rsid w:val="00392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00B"/>
  </w:style>
  <w:style w:type="paragraph" w:styleId="Footer">
    <w:name w:val="footer"/>
    <w:basedOn w:val="Normal"/>
    <w:link w:val="FooterChar"/>
    <w:uiPriority w:val="99"/>
    <w:unhideWhenUsed/>
    <w:rsid w:val="00392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00B"/>
  </w:style>
  <w:style w:type="paragraph" w:styleId="ListBullet">
    <w:name w:val="List Bullet"/>
    <w:basedOn w:val="Normal"/>
    <w:uiPriority w:val="99"/>
    <w:unhideWhenUsed/>
    <w:rsid w:val="0039200B"/>
    <w:pPr>
      <w:numPr>
        <w:numId w:val="1"/>
      </w:numPr>
      <w:contextualSpacing/>
    </w:pPr>
  </w:style>
  <w:style w:type="table" w:styleId="TableGrid">
    <w:name w:val="Table Grid"/>
    <w:basedOn w:val="TableNormal"/>
    <w:uiPriority w:val="39"/>
    <w:rsid w:val="0039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39200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95966F2-443F-4F81-A940-302FCA4E824B}">
  <we:reference id="WA200010725" version="1.0.0.1" store="Omex" storeType="OMEX"/>
  <we:alternateReferences>
    <we:reference id="WA200010725" version="1.0.0.1" store="WA200010725" storeType="OMEX"/>
  </we:alternateReferences>
  <we:properties>
    <we:property name="claude.fileId" value="&quot;f5d0d15d-283b-4410-b202-41941f2018fb&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a1be046f-449e-487f-9988-c0e5e0385c92">
  <we:reference id="WA200010725" version="1.0.0.1" store="en-us" storeType="omex"/>
  <we:alternateReferences>
    <we:reference id="WA200010725" version="1.0.0.1" store="en-us" storeType="omex"/>
  </we:alternateReferences>
  <we:properties>
    <we:property name="claude.fileId" value="&quot;f5d0d15d-283b-4410-b202-41941f2018f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B9C9DD8-52C8-46A1-9EAC-0D4931AB2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72B92-573B-472C-97AE-336EFEFD4989}">
  <ds:schemaRefs>
    <ds:schemaRef ds:uri="http://schemas.microsoft.com/sharepoint/v3/contenttype/forms"/>
  </ds:schemaRefs>
</ds:datastoreItem>
</file>

<file path=customXml/itemProps3.xml><?xml version="1.0" encoding="utf-8"?>
<ds:datastoreItem xmlns:ds="http://schemas.openxmlformats.org/officeDocument/2006/customXml" ds:itemID="{2CC74402-2FF6-476A-876B-8DF32B96E709}">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4779</Words>
  <Characters>27243</Characters>
  <Application>Microsoft Office Word</Application>
  <DocSecurity>0</DocSecurity>
  <Lines>227</Lines>
  <Paragraphs>63</Paragraphs>
  <ScaleCrop>false</ScaleCrop>
  <Company/>
  <LinksUpToDate>false</LinksUpToDate>
  <CharactersWithSpaces>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Session4_Retirement Readiness_Summary</dc:title>
  <dc:subject>Retirement Readiness</dc:subject>
  <dc:creator>University of Pittsburgh Office of Human Resources</dc:creator>
  <cp:keywords/>
  <dc:description/>
  <cp:lastModifiedBy>Zurowski, Laura P</cp:lastModifiedBy>
  <cp:revision>2</cp:revision>
  <cp:lastPrinted>2026-09-24T13:12:00Z</cp:lastPrinted>
  <dcterms:created xsi:type="dcterms:W3CDTF">2026-10-08T20:15:00Z</dcterms:created>
  <dcterms:modified xsi:type="dcterms:W3CDTF">2026-10-08T20:15:00Z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