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E338B" w14:textId="77777777" w:rsidR="00B13B80" w:rsidRDefault="00B13B80">
      <w:r w:rsidRPr="0068367E">
        <w:rPr>
          <w:color w:val="auto"/>
        </w:rPr>
        <w:t>Retirement Readiness Series</w:t>
      </w:r>
    </w:p>
    <w:p w14:paraId="4D0C5388" w14:textId="77777777" w:rsidR="00B13B80" w:rsidRDefault="00B13B80">
      <w:pPr>
        <w:rPr>
          <w:color w:val="777777"/>
        </w:rPr>
      </w:pPr>
    </w:p>
    <w:p w14:paraId="6CED61CB" w14:textId="77777777" w:rsidR="00B13B80" w:rsidRDefault="00E43F5A">
      <w:pPr>
        <w:pStyle w:val="Title"/>
      </w:pPr>
      <w:r>
        <w:t>Retirement Readiness — Administrative Steps Toward Retirement</w:t>
      </w:r>
    </w:p>
    <w:p w14:paraId="39E0282A" w14:textId="786DA604" w:rsidR="44DACE1D" w:rsidRDefault="44DACE1D" w:rsidP="44DACE1D">
      <w:pPr>
        <w:rPr>
          <w:szCs w:val="20"/>
        </w:rPr>
      </w:pPr>
    </w:p>
    <w:p w14:paraId="45B47D9D" w14:textId="77777777" w:rsidR="00B13B80" w:rsidRDefault="00B13B80">
      <w:pPr>
        <w:pStyle w:val="Heading1"/>
      </w:pPr>
      <w:r>
        <w:t>1. About the Series and How to Use It</w:t>
      </w:r>
    </w:p>
    <w:p w14:paraId="3843D0EB" w14:textId="77777777" w:rsidR="00B13B80" w:rsidRDefault="00B13B80" w:rsidP="00B13B80">
      <w:pPr>
        <w:pStyle w:val="ListBullet"/>
        <w:spacing w:before="40" w:after="40"/>
      </w:pPr>
      <w:r>
        <w:t>Ten 60-minute webinars, May through August 2026, expert-led with live Q&amp;A. Open to all Pitt employees, not just those nearing retirement.</w:t>
      </w:r>
    </w:p>
    <w:p w14:paraId="1CB29BE5" w14:textId="77777777" w:rsidR="00B13B80" w:rsidRDefault="00B13B80" w:rsidP="00B13B80">
      <w:pPr>
        <w:pStyle w:val="ListBullet"/>
        <w:spacing w:before="40" w:after="40"/>
      </w:pPr>
      <w:r>
        <w:rPr>
          <w:b/>
        </w:rPr>
        <w:t>Five themes:</w:t>
      </w:r>
      <w:r>
        <w:t xml:space="preserve"> Getting Ready; Health Coverage &amp; Benefits; Money &amp; Planning; Estate Planning &amp; Legal Protection; Life After Retirement.</w:t>
      </w:r>
    </w:p>
    <w:p w14:paraId="0B134F7A" w14:textId="77777777" w:rsidR="00B13B80" w:rsidRDefault="00B13B80" w:rsidP="00B13B80">
      <w:pPr>
        <w:pStyle w:val="ListBullet"/>
        <w:spacing w:before="40" w:after="40"/>
      </w:pPr>
      <w:r>
        <w:t>Sessions are recorded except those featuring TIAA guest speakers — those are live-only and slides are not distributed.</w:t>
      </w:r>
    </w:p>
    <w:p w14:paraId="7EDCA008" w14:textId="77777777" w:rsidR="00B13B80" w:rsidRDefault="00B13B80" w:rsidP="00B13B80">
      <w:pPr>
        <w:pStyle w:val="ListBullet"/>
        <w:spacing w:before="40" w:after="40"/>
      </w:pPr>
      <w:r>
        <w:rPr>
          <w:b/>
        </w:rPr>
        <w:t>Companion guide:</w:t>
      </w:r>
      <w:r>
        <w:t xml:space="preserve"> the fillable/printable “Pitt Passport” — track sessions, capture takeaways, log questions. Download at hr.pitt.edu/Retirement-Readiness.</w:t>
      </w:r>
    </w:p>
    <w:p w14:paraId="70F45341" w14:textId="77777777" w:rsidR="00B13B80" w:rsidRDefault="00B13B80" w:rsidP="00B13B80">
      <w:pPr>
        <w:pStyle w:val="ListBullet"/>
        <w:spacing w:before="40" w:after="40"/>
      </w:pPr>
      <w:r w:rsidRPr="44DACE1D">
        <w:rPr>
          <w:b/>
          <w:bCs/>
        </w:rPr>
        <w:t>Planning tips:</w:t>
      </w:r>
      <w:r>
        <w:t xml:space="preserve"> start at least 4 months before your intended retirement date; confirm eligibility; review hr.pitt.edu/retirees; estimate income from Social Security and retirement plans and schedule a meeting with TIAA or the University Pension Center; discuss timing with your supervisor and submit formal notice.</w:t>
      </w:r>
    </w:p>
    <w:p w14:paraId="0AC2B8AA" w14:textId="6A9EE440" w:rsidR="44DACE1D" w:rsidRDefault="44DACE1D" w:rsidP="44DACE1D">
      <w:pPr>
        <w:rPr>
          <w:szCs w:val="20"/>
        </w:rPr>
      </w:pPr>
    </w:p>
    <w:p w14:paraId="682AEAA8" w14:textId="77777777" w:rsidR="00B13B80" w:rsidRDefault="00B13B80">
      <w:pPr>
        <w:pStyle w:val="Heading1"/>
      </w:pPr>
      <w:r>
        <w:t>2. Know Your Eligibility</w:t>
      </w:r>
    </w:p>
    <w:p w14:paraId="51792D96" w14:textId="77777777" w:rsidR="00B13B80" w:rsidRDefault="00B13B80">
      <w:pPr>
        <w:pStyle w:val="Heading2"/>
      </w:pPr>
      <w:r>
        <w:t>Position types that can be granted retiree status (if age/service rules are also met)</w:t>
      </w:r>
    </w:p>
    <w:p w14:paraId="30D6A551" w14:textId="77777777" w:rsidR="00B13B80" w:rsidRDefault="00B13B80" w:rsidP="00B13B80">
      <w:pPr>
        <w:pStyle w:val="ListBullet"/>
        <w:spacing w:before="40" w:after="40"/>
      </w:pPr>
      <w:r>
        <w:t>Executives; Full-Time Regular Faculty; Part-Time Regular Faculty in the tenure stream or tenured for no less than half time; Full-Time Regular Staff; Full-Time Regular Librarians; Full-Time Regular Research Associates.</w:t>
      </w:r>
    </w:p>
    <w:p w14:paraId="3590D564" w14:textId="77777777" w:rsidR="00B13B80" w:rsidRDefault="00B13B80" w:rsidP="00B13B80">
      <w:pPr>
        <w:pStyle w:val="ListBullet"/>
        <w:spacing w:before="40" w:after="40"/>
      </w:pPr>
      <w:r>
        <w:t xml:space="preserve">Part-Time Regular Staff hired before July 1, </w:t>
      </w:r>
      <w:proofErr w:type="gramStart"/>
      <w:r>
        <w:t>2004</w:t>
      </w:r>
      <w:proofErr w:type="gramEnd"/>
      <w:r>
        <w:t xml:space="preserve"> with no break in service may qualify. Part-Time Regular staff hired on or after July 1, </w:t>
      </w:r>
      <w:proofErr w:type="gramStart"/>
      <w:r>
        <w:t>2004</w:t>
      </w:r>
      <w:proofErr w:type="gramEnd"/>
      <w:r>
        <w:t xml:space="preserve"> are not eligible for retiree benefits.</w:t>
      </w:r>
    </w:p>
    <w:p w14:paraId="10572350" w14:textId="77777777" w:rsidR="00B13B80" w:rsidRDefault="00B13B80" w:rsidP="00B13B80">
      <w:pPr>
        <w:pStyle w:val="ListBullet"/>
        <w:spacing w:before="40" w:after="40"/>
      </w:pPr>
      <w:r>
        <w:t>Union-eligible employees must check their collective bargaining agreement for eligibility.</w:t>
      </w:r>
    </w:p>
    <w:p w14:paraId="79F28090" w14:textId="77777777" w:rsidR="00B13B80" w:rsidRDefault="00B13B80">
      <w:pPr>
        <w:pStyle w:val="Heading2"/>
      </w:pPr>
      <w:r>
        <w:t>The “magic number” — age and service rules</w:t>
      </w:r>
    </w:p>
    <w:p w14:paraId="673AFF9C" w14:textId="77777777" w:rsidR="00B13B80" w:rsidRDefault="00B13B80" w:rsidP="00B13B80">
      <w:pPr>
        <w:pStyle w:val="ListBullet"/>
        <w:spacing w:before="40" w:after="40"/>
      </w:pPr>
      <w:r>
        <w:t>Recognized Pitt start date BEFORE July 1, 2004: must be age 62 or older on your last day of work. No service requirement.</w:t>
      </w:r>
    </w:p>
    <w:p w14:paraId="5D6CE1B5" w14:textId="77777777" w:rsidR="00B13B80" w:rsidRDefault="00B13B80" w:rsidP="00B13B80">
      <w:pPr>
        <w:pStyle w:val="ListBullet"/>
        <w:spacing w:before="40" w:after="40"/>
      </w:pPr>
      <w:r>
        <w:t>Recognized Pitt start date ON or AFTER July 1, 2004: must be at least age 62 on your last day of work AND age plus years of service (from your recognized Pitt start date) must equal 85 or greater.</w:t>
      </w:r>
    </w:p>
    <w:p w14:paraId="351BB505" w14:textId="77777777" w:rsidR="00B13B80" w:rsidRDefault="00B13B80" w:rsidP="00B13B80">
      <w:pPr>
        <w:pStyle w:val="ListBullet"/>
        <w:spacing w:before="40" w:after="40"/>
      </w:pPr>
      <w:r>
        <w:t>All service credit is determined solely from recognized dates in University Employee Records. The plan administrator has sole discretion over age, service, and job-classification determinations. Separate criteria exist for each benefit; eligibility for each plan is mutually exclusive. Details: hr.pitt.edu/retirees/retiree-status-eligibility.</w:t>
      </w:r>
    </w:p>
    <w:p w14:paraId="02FC599C" w14:textId="77777777" w:rsidR="00B13B80" w:rsidRDefault="00B13B80">
      <w:pPr>
        <w:pStyle w:val="Heading2"/>
      </w:pPr>
      <w:r>
        <w:t>Getting your eligibility checked</w:t>
      </w:r>
    </w:p>
    <w:p w14:paraId="26067284" w14:textId="77777777" w:rsidR="00B13B80" w:rsidRDefault="00B13B80" w:rsidP="00B13B80">
      <w:pPr>
        <w:pStyle w:val="ListBullet"/>
        <w:spacing w:before="40" w:after="40"/>
      </w:pPr>
      <w:r>
        <w:rPr>
          <w:b/>
        </w:rPr>
        <w:t>Not within 6 months of retiring:</w:t>
      </w:r>
      <w:r>
        <w:t xml:space="preserve"> use the online Retirement Eligibility Calculator for a self-service estimate, attend series sessions, and re-run the calculator as your date approaches. The calculator requires login with your pitt.edu email — other addresses return an error.</w:t>
      </w:r>
    </w:p>
    <w:p w14:paraId="6063F850" w14:textId="77777777" w:rsidR="00B13B80" w:rsidRDefault="00B13B80" w:rsidP="00B13B80">
      <w:pPr>
        <w:pStyle w:val="ListBullet"/>
        <w:spacing w:before="40" w:after="40"/>
      </w:pPr>
      <w:r>
        <w:lastRenderedPageBreak/>
        <w:t>Within 6 months, anticipating a change in work status, or other special circumstances: request a formal eligibility review at hr.pitt.edu/contact-</w:t>
      </w:r>
      <w:proofErr w:type="spellStart"/>
      <w:r>
        <w:t>ohr</w:t>
      </w:r>
      <w:proofErr w:type="spellEnd"/>
      <w:r>
        <w:t>. Determination is provided in writing and, if you are not yet eligible, includes your anticipated eligibility date assuming continued benefits-eligible employment with no break in service. Submissions can take 1–3 weeks depending on time of year.</w:t>
      </w:r>
    </w:p>
    <w:p w14:paraId="7639F50B" w14:textId="77777777" w:rsidR="00B13B80" w:rsidRDefault="00B13B80">
      <w:pPr>
        <w:pStyle w:val="Heading2"/>
      </w:pPr>
      <w:r>
        <w:t>Eligibility FAQs from the deck</w:t>
      </w:r>
    </w:p>
    <w:p w14:paraId="287A9AFD" w14:textId="77777777" w:rsidR="00B13B80" w:rsidRDefault="00B13B80" w:rsidP="00B13B80">
      <w:pPr>
        <w:pStyle w:val="ListBullet"/>
        <w:spacing w:before="40" w:after="40"/>
      </w:pPr>
      <w:r>
        <w:rPr>
          <w:b/>
        </w:rPr>
        <w:t>Separation and re-employment:</w:t>
      </w:r>
      <w:r>
        <w:t xml:space="preserve"> a voluntary separation with a break in service resets your service time to your most recent rehire date; prior employment does not count. Exception — if the separation was involuntary (position elimination, lack of funds, or inability to return from approved disability leave), you may retain prior service credit if you return to </w:t>
      </w:r>
      <w:proofErr w:type="gramStart"/>
      <w:r>
        <w:t>University</w:t>
      </w:r>
      <w:proofErr w:type="gramEnd"/>
      <w:r>
        <w:t xml:space="preserve"> employment within 365 days of separation.</w:t>
      </w:r>
    </w:p>
    <w:p w14:paraId="02989649" w14:textId="77777777" w:rsidR="00B13B80" w:rsidRDefault="00B13B80" w:rsidP="00B13B80">
      <w:pPr>
        <w:pStyle w:val="ListBullet"/>
        <w:spacing w:before="40" w:after="40"/>
      </w:pPr>
      <w:r>
        <w:t xml:space="preserve">Moving to an ineligible position before reaching eligibility: you must return to an eligible position and complete all remaining requirements. If you do not before separating, you are ineligible for </w:t>
      </w:r>
      <w:proofErr w:type="gramStart"/>
      <w:r>
        <w:t>University</w:t>
      </w:r>
      <w:proofErr w:type="gramEnd"/>
      <w:r>
        <w:t>-sponsored retiree benefits and normal separation rules apply.</w:t>
      </w:r>
    </w:p>
    <w:p w14:paraId="32CA0EBD" w14:textId="77777777" w:rsidR="00B13B80" w:rsidRDefault="00B13B80" w:rsidP="00B13B80">
      <w:pPr>
        <w:pStyle w:val="ListBullet"/>
        <w:spacing w:before="40" w:after="40"/>
      </w:pPr>
      <w:r w:rsidRPr="44DACE1D">
        <w:rPr>
          <w:b/>
          <w:bCs/>
        </w:rPr>
        <w:t>Separating without meeting requirements:</w:t>
      </w:r>
      <w:r>
        <w:t xml:space="preserve"> coverage ends at the end of the month in which employment ends. You may continue Medical, Dental, and/or Vision through COBRA, and may port or convert optional Life and AD&amp;D policies.</w:t>
      </w:r>
    </w:p>
    <w:p w14:paraId="6DD5F6C4" w14:textId="471E37B8" w:rsidR="44DACE1D" w:rsidRDefault="44DACE1D" w:rsidP="44DACE1D">
      <w:pPr>
        <w:rPr>
          <w:szCs w:val="20"/>
        </w:rPr>
      </w:pPr>
    </w:p>
    <w:p w14:paraId="0CA4468D" w14:textId="77777777" w:rsidR="00B13B80" w:rsidRDefault="00B13B80">
      <w:pPr>
        <w:pStyle w:val="Heading1"/>
      </w:pPr>
      <w:r>
        <w:t>3. Key Considerations Before You Choose a Date</w:t>
      </w:r>
    </w:p>
    <w:p w14:paraId="15334A32" w14:textId="77777777" w:rsidR="00B13B80" w:rsidRDefault="00B13B80">
      <w:pPr>
        <w:pStyle w:val="Heading2"/>
      </w:pPr>
      <w:r>
        <w:t>Medicare basics</w:t>
      </w:r>
    </w:p>
    <w:p w14:paraId="6BB211C4" w14:textId="77777777" w:rsidR="00B13B80" w:rsidRDefault="00B13B80" w:rsidP="00B13B80">
      <w:pPr>
        <w:pStyle w:val="ListBullet"/>
        <w:spacing w:before="40" w:after="40"/>
      </w:pPr>
      <w:r>
        <w:t>Medicare is federal health insurance administered by the Centers for Medicare &amp; Medicaid Services (CMS) for people age 65 or older, and for some people under 65 with certain disabilities, permanent kidney failure, or ALS.</w:t>
      </w:r>
    </w:p>
    <w:p w14:paraId="29606F7C" w14:textId="77777777" w:rsidR="00B13B80" w:rsidRDefault="00B13B80" w:rsidP="00B13B80">
      <w:pPr>
        <w:pStyle w:val="ListBullet"/>
        <w:spacing w:before="40" w:after="40"/>
      </w:pPr>
      <w:r>
        <w:rPr>
          <w:b/>
        </w:rPr>
        <w:t>Part A (hospital):</w:t>
      </w:r>
      <w:r>
        <w:t xml:space="preserve"> inpatient stays, skilled nursing, hospice; usually premium-free if you or your spouse paid Medicare taxes. Part B (medical): outpatient care, doctor visits, preventive services, durable medical equipment; monthly income-based premium — 2026 Part B premium starts at $202.90/month. Part C (Medicare Advantage): private plans combining A and B, often with Part D; premium varies. Part D (prescription drugs): premium varies by plan.</w:t>
      </w:r>
    </w:p>
    <w:p w14:paraId="73A1B572" w14:textId="77777777" w:rsidR="00B13B80" w:rsidRDefault="00B13B80" w:rsidP="00B13B80">
      <w:pPr>
        <w:pStyle w:val="ListBullet"/>
        <w:spacing w:before="40" w:after="40"/>
      </w:pPr>
      <w:r>
        <w:t>The University offers 4 Medicare Advantage options and 2 Medicare Supplement (“Medigap”) plans to eligible retirees and their spouse/domestic partner over age 65.</w:t>
      </w:r>
    </w:p>
    <w:p w14:paraId="1DBAC89B" w14:textId="77777777" w:rsidR="00B13B80" w:rsidRDefault="00B13B80" w:rsidP="00B13B80">
      <w:pPr>
        <w:pStyle w:val="ListBullet"/>
        <w:spacing w:before="40" w:after="40"/>
      </w:pPr>
      <w:r>
        <w:rPr>
          <w:b/>
        </w:rPr>
        <w:t xml:space="preserve">When to </w:t>
      </w:r>
      <w:proofErr w:type="gramStart"/>
      <w:r>
        <w:rPr>
          <w:b/>
        </w:rPr>
        <w:t>apply:</w:t>
      </w:r>
      <w:proofErr w:type="gramEnd"/>
      <w:r>
        <w:t xml:space="preserve"> apply for Part A online at age 65 while still working (no </w:t>
      </w:r>
      <w:proofErr w:type="gramStart"/>
      <w:r>
        <w:t>cost) —</w:t>
      </w:r>
      <w:proofErr w:type="gramEnd"/>
      <w:r>
        <w:t xml:space="preserve"> about 3 months before your 65th birthday. Part B is not required while actively working with employer coverage; a Special Enrollment Period lets you delay Part B without a late-enrollment penalty. Part D is not needed for active employees or retirees because University medical plans include creditable prescription coverage.</w:t>
      </w:r>
    </w:p>
    <w:p w14:paraId="21AEB542" w14:textId="77777777" w:rsidR="00B13B80" w:rsidRDefault="00B13B80" w:rsidP="00B13B80">
      <w:pPr>
        <w:pStyle w:val="ListBullet"/>
        <w:spacing w:before="40" w:after="40"/>
      </w:pPr>
      <w:r>
        <w:rPr>
          <w:b/>
        </w:rPr>
        <w:t>Part B paperwork:</w:t>
      </w:r>
      <w:r>
        <w:t xml:space="preserve"> 1–2 months before your retirement date the Benefits Department provides an Employer Verification Form to mail with your Part B application to your local Social Security office. More at socialsecurity.gov and medicare.gov; free counseling through the PA MEDI program.</w:t>
      </w:r>
    </w:p>
    <w:p w14:paraId="466C5B60" w14:textId="77777777" w:rsidR="00B13B80" w:rsidRDefault="00B13B80">
      <w:pPr>
        <w:pStyle w:val="Heading2"/>
      </w:pPr>
      <w:r>
        <w:t>Dependent ages at retirement</w:t>
      </w:r>
    </w:p>
    <w:p w14:paraId="45FA46C5" w14:textId="77777777" w:rsidR="00B13B80" w:rsidRDefault="00B13B80" w:rsidP="00B13B80">
      <w:pPr>
        <w:pStyle w:val="ListBullet"/>
        <w:spacing w:before="40" w:after="40"/>
      </w:pPr>
      <w:r>
        <w:rPr>
          <w:b/>
        </w:rPr>
        <w:t>Key reminder:</w:t>
      </w:r>
      <w:r>
        <w:t xml:space="preserve"> if your spouse/partner is under age 62 when you retire, they pay the full cost of their </w:t>
      </w:r>
      <w:proofErr w:type="gramStart"/>
      <w:r>
        <w:t>Pre-65</w:t>
      </w:r>
      <w:proofErr w:type="gramEnd"/>
      <w:r>
        <w:t xml:space="preserve"> health plan — no cost-sharing applies until they reach 62.</w:t>
      </w:r>
    </w:p>
    <w:p w14:paraId="2D79C5B0" w14:textId="77777777" w:rsidR="00B13B80" w:rsidRDefault="00B13B80" w:rsidP="00B13B80">
      <w:pPr>
        <w:pStyle w:val="ListBullet"/>
        <w:spacing w:before="40" w:after="40"/>
      </w:pPr>
      <w:r>
        <w:t>Review dependent ages when selecting a retirement date; budget for full-cost premiums if your spouse/partner is under 62, or if you are over 65 with children and no spouse/partner; consider timing retirement to align with your spouse’s cost-sharing eligibility or Medicare.</w:t>
      </w:r>
    </w:p>
    <w:p w14:paraId="33A1CDC6" w14:textId="77777777" w:rsidR="00B13B80" w:rsidRDefault="00B13B80" w:rsidP="00B13B80">
      <w:pPr>
        <w:pStyle w:val="ListBullet"/>
        <w:spacing w:before="40" w:after="40"/>
      </w:pPr>
      <w:r>
        <w:rPr>
          <w:b/>
        </w:rPr>
        <w:t>Coverage-scenario grid (summarized):</w:t>
      </w:r>
      <w:r>
        <w:t xml:space="preserve"> retirees aged 62–64 take </w:t>
      </w:r>
      <w:proofErr w:type="gramStart"/>
      <w:r>
        <w:t>Pre-65</w:t>
      </w:r>
      <w:proofErr w:type="gramEnd"/>
      <w:r>
        <w:t xml:space="preserve"> coverage at cost share; retirees 65+ take </w:t>
      </w:r>
      <w:proofErr w:type="gramStart"/>
      <w:r>
        <w:t>Post-65</w:t>
      </w:r>
      <w:proofErr w:type="gramEnd"/>
      <w:r>
        <w:t xml:space="preserve"> coverage with Defined Dollar Benefit (DDB) credits. A spouse/partner under 62 always pays </w:t>
      </w:r>
      <w:r>
        <w:lastRenderedPageBreak/>
        <w:t xml:space="preserve">full cost for </w:t>
      </w:r>
      <w:proofErr w:type="gramStart"/>
      <w:r>
        <w:t>Pre-65</w:t>
      </w:r>
      <w:proofErr w:type="gramEnd"/>
      <w:r>
        <w:t xml:space="preserve"> coverage; a spouse/partner aged 62–65 is covered at cost share (Two Adult or Family Pre-65 plan); a spouse/partner 65+ moves to </w:t>
      </w:r>
      <w:proofErr w:type="gramStart"/>
      <w:r>
        <w:t>Post-65</w:t>
      </w:r>
      <w:proofErr w:type="gramEnd"/>
      <w:r>
        <w:t xml:space="preserve"> coverage with DDB. Dependent children are covered to age 26 — at cost share when the retiree is </w:t>
      </w:r>
      <w:proofErr w:type="gramStart"/>
      <w:r>
        <w:t>Pre-65</w:t>
      </w:r>
      <w:proofErr w:type="gramEnd"/>
      <w:r>
        <w:t xml:space="preserve">, at full cost when the retiree is </w:t>
      </w:r>
      <w:proofErr w:type="gramStart"/>
      <w:r>
        <w:t>Post-65</w:t>
      </w:r>
      <w:proofErr w:type="gramEnd"/>
      <w:r>
        <w:t xml:space="preserve"> and the child remains on a </w:t>
      </w:r>
      <w:proofErr w:type="gramStart"/>
      <w:r>
        <w:t>Pre-65</w:t>
      </w:r>
      <w:proofErr w:type="gramEnd"/>
      <w:r>
        <w:t xml:space="preserve"> plan. Certified disabled dependents may qualify beyond age 26. The full eight-row grid on slide 26 is the authoritative version; find your row there.</w:t>
      </w:r>
    </w:p>
    <w:p w14:paraId="616000CA" w14:textId="77777777" w:rsidR="00B13B80" w:rsidRDefault="00B13B80">
      <w:pPr>
        <w:pStyle w:val="Heading2"/>
      </w:pPr>
      <w:r>
        <w:t>Retirement savings</w:t>
      </w:r>
    </w:p>
    <w:p w14:paraId="3B0B39BF" w14:textId="77777777" w:rsidR="00B13B80" w:rsidRDefault="00B13B80" w:rsidP="00B13B80">
      <w:pPr>
        <w:pStyle w:val="ListBullet"/>
        <w:spacing w:before="40" w:after="40"/>
      </w:pPr>
      <w:r>
        <w:t>Most retirees have only one of two plans. Defined Contribution Plan (</w:t>
      </w:r>
      <w:proofErr w:type="gramStart"/>
      <w:r>
        <w:t>TIAA) —</w:t>
      </w:r>
      <w:proofErr w:type="gramEnd"/>
      <w:r>
        <w:t xml:space="preserve"> telephone counseling 1-800-682-9139; personal appointments 1-800-732-8353; schedule online at www.tiaa.org/schedulenow-PITT. TIAA advises on TIAA and Vanguard funds, during and after employment, and retirees may keep the relationship.</w:t>
      </w:r>
    </w:p>
    <w:p w14:paraId="38B33199" w14:textId="77777777" w:rsidR="00B13B80" w:rsidRDefault="00B13B80" w:rsidP="00B13B80">
      <w:pPr>
        <w:pStyle w:val="ListBullet"/>
        <w:spacing w:before="40" w:after="40"/>
      </w:pPr>
      <w:r>
        <w:t xml:space="preserve">Defined Benefit Pension Plan (University Pension </w:t>
      </w:r>
      <w:proofErr w:type="gramStart"/>
      <w:r>
        <w:t>Center) —</w:t>
      </w:r>
      <w:proofErr w:type="gramEnd"/>
      <w:r>
        <w:t xml:space="preserve"> telephone 1-866-283-0208. Contact the Pension Administration Center to learn about your pension benefit in retirement.</w:t>
      </w:r>
    </w:p>
    <w:p w14:paraId="4D8292EC" w14:textId="77777777" w:rsidR="00B13B80" w:rsidRDefault="00B13B80" w:rsidP="00B13B80">
      <w:pPr>
        <w:pStyle w:val="ListBullet"/>
        <w:spacing w:before="40" w:after="40"/>
      </w:pPr>
      <w:r>
        <w:t>Begin reviewing accounts 3–6 months before retirement and discuss distribution strategy with a financial advisor. A TIAA brochure on the pros and cons of moving money out of the Pitt plan is linked from the slide.</w:t>
      </w:r>
    </w:p>
    <w:p w14:paraId="254B477F" w14:textId="77777777" w:rsidR="00B13B80" w:rsidRDefault="00B13B80">
      <w:pPr>
        <w:pStyle w:val="Heading2"/>
      </w:pPr>
      <w:r>
        <w:t>When active coverage ends</w:t>
      </w:r>
    </w:p>
    <w:p w14:paraId="54028BDB" w14:textId="77777777" w:rsidR="00B13B80" w:rsidRDefault="00B13B80" w:rsidP="00B13B80">
      <w:pPr>
        <w:pStyle w:val="ListBullet"/>
        <w:spacing w:before="40" w:after="40"/>
      </w:pPr>
      <w:r>
        <w:t>Active University benefits continue through the last day of the month in which you work — a last day of March 15 means coverage through March 31.</w:t>
      </w:r>
    </w:p>
    <w:p w14:paraId="00BC3DA9" w14:textId="77777777" w:rsidR="00B13B80" w:rsidRDefault="00B13B80" w:rsidP="00B13B80">
      <w:pPr>
        <w:pStyle w:val="ListBullet"/>
        <w:spacing w:before="40" w:after="40"/>
      </w:pPr>
      <w:r>
        <w:t>If eligible for retiree benefits, retiree coverage starts the first month following retirement and an enrollment packet is mailed to your home address in Pitt Worx. If not eligible, a COBRA notice is sent to that address instead, allowing medical, dental, and vision continuation at full cost.</w:t>
      </w:r>
    </w:p>
    <w:p w14:paraId="50961B7D" w14:textId="77777777" w:rsidR="00B13B80" w:rsidRDefault="00B13B80" w:rsidP="00B13B80">
      <w:pPr>
        <w:pStyle w:val="ListBullet"/>
        <w:spacing w:before="40" w:after="40"/>
      </w:pPr>
      <w:r>
        <w:t>Employees on less-than-annual payroll assignments (grandfathered 04/04, 08/08, 09/09, or 10/10 pay types) may have a different last day of coverage because of spring term double deductions — verify yours using the Contact OHR form.</w:t>
      </w:r>
    </w:p>
    <w:p w14:paraId="3951AD28" w14:textId="4309CF4A" w:rsidR="44DACE1D" w:rsidRDefault="44DACE1D" w:rsidP="44DACE1D">
      <w:pPr>
        <w:rPr>
          <w:szCs w:val="20"/>
        </w:rPr>
      </w:pPr>
    </w:p>
    <w:p w14:paraId="29A972DD" w14:textId="77777777" w:rsidR="00B13B80" w:rsidRDefault="00B13B80">
      <w:pPr>
        <w:pStyle w:val="Heading1"/>
      </w:pPr>
      <w:r>
        <w:t>4. The Retirement Process — Seven Administrative Steps</w:t>
      </w:r>
    </w:p>
    <w:p w14:paraId="64A84F2A" w14:textId="77777777" w:rsidR="00B13B80" w:rsidRDefault="00B13B80">
      <w:pPr>
        <w:rPr>
          <w:i/>
        </w:rPr>
      </w:pPr>
      <w:r>
        <w:rPr>
          <w:i/>
        </w:rPr>
        <w:t>Begin at least 4 months before your intended retirement date.</w:t>
      </w:r>
    </w:p>
    <w:p w14:paraId="27F1F805" w14:textId="77777777" w:rsidR="00B13B80" w:rsidRDefault="00B13B80" w:rsidP="00B13B80">
      <w:pPr>
        <w:pStyle w:val="ListNumber"/>
        <w:spacing w:before="40" w:after="40"/>
      </w:pPr>
      <w:r>
        <w:t xml:space="preserve">Watch the retirement webinar. Recording and resources at hr.pitt.edu/retirees: Steps Towards Retirement Checklist, on-demand Retiree Information Session, Medicare reading (age 65+), Pre-65 vs. </w:t>
      </w:r>
      <w:proofErr w:type="gramStart"/>
      <w:r>
        <w:t>Post-65</w:t>
      </w:r>
      <w:proofErr w:type="gramEnd"/>
      <w:r>
        <w:t xml:space="preserve"> coverage sections, and Summary Guides to Benefits.</w:t>
      </w:r>
    </w:p>
    <w:p w14:paraId="08C491AA" w14:textId="77777777" w:rsidR="00B13B80" w:rsidRDefault="00B13B80" w:rsidP="00B13B80">
      <w:pPr>
        <w:pStyle w:val="ListNumber"/>
        <w:spacing w:before="40" w:after="40"/>
      </w:pPr>
      <w:r>
        <w:t>Request a formal retirement eligibility review. Submit the contact form at hr.pitt.edu/contact-</w:t>
      </w:r>
      <w:proofErr w:type="spellStart"/>
      <w:r>
        <w:t>ohr</w:t>
      </w:r>
      <w:proofErr w:type="spellEnd"/>
      <w:r>
        <w:t xml:space="preserve"> (for those retiring within 6 months). Determination comes in writing; allow 1–3 weeks.</w:t>
      </w:r>
    </w:p>
    <w:p w14:paraId="7814E2EC" w14:textId="77777777" w:rsidR="00B13B80" w:rsidRDefault="00B13B80" w:rsidP="00B13B80">
      <w:pPr>
        <w:pStyle w:val="ListNumber"/>
        <w:spacing w:before="40" w:after="40"/>
      </w:pPr>
      <w:r>
        <w:t>Select a date to retire. Weigh final paycheck, unused leave payout and tax withholding; Social Security and Medicare timing (claiming early, at full retirement age, or later); workload and project handoff; and tax planning — retiring earlier or later in the year can change your bracket. Consult a tax advisor.</w:t>
      </w:r>
    </w:p>
    <w:p w14:paraId="54527277" w14:textId="77777777" w:rsidR="00B13B80" w:rsidRDefault="00B13B80" w:rsidP="00B13B80">
      <w:pPr>
        <w:pStyle w:val="ListNumber"/>
        <w:spacing w:before="40" w:after="40"/>
      </w:pPr>
      <w:r>
        <w:t>Notify your department in writing, at least 2–3 months ahead (earlier if possible). Notification periods vary by position and department — confirm with your supervisor. If you are 65+ and enrolling in Medicare Part B, allow extra notice.</w:t>
      </w:r>
    </w:p>
    <w:p w14:paraId="79FE2D72" w14:textId="77777777" w:rsidR="00B13B80" w:rsidRDefault="00B13B80" w:rsidP="00B13B80">
      <w:pPr>
        <w:pStyle w:val="ListNumber"/>
        <w:spacing w:before="40" w:after="40"/>
      </w:pPr>
      <w:r>
        <w:t xml:space="preserve">Apply for Medicare — required only if you are retiring at age 65 or </w:t>
      </w:r>
      <w:proofErr w:type="gramStart"/>
      <w:r>
        <w:t>older, or</w:t>
      </w:r>
      <w:proofErr w:type="gramEnd"/>
      <w:r>
        <w:t xml:space="preserve"> have a spouse/domestic partner 65 or older on your active coverage. Contact Social Security 2–3 months before retirement if already 65+, or 3 months before your 65th birthday if retiring earlier. Parts A and B are required to enroll in University Post-65 retiree medical coverage. Coordinate your Medicare effective date with the end of active coverage.</w:t>
      </w:r>
    </w:p>
    <w:p w14:paraId="27227609" w14:textId="77777777" w:rsidR="00B13B80" w:rsidRDefault="00B13B80" w:rsidP="00B13B80">
      <w:pPr>
        <w:pStyle w:val="ListNumber"/>
        <w:spacing w:before="40" w:after="40"/>
      </w:pPr>
      <w:r>
        <w:t>Review and enroll in benefit plans — medical, dental, vision; life insurance; retirement savings; long-term care (if enrolled); education benefits.</w:t>
      </w:r>
    </w:p>
    <w:p w14:paraId="7017086A" w14:textId="77777777" w:rsidR="00B13B80" w:rsidRDefault="00B13B80" w:rsidP="00B13B80">
      <w:pPr>
        <w:pStyle w:val="ListNumber"/>
        <w:spacing w:before="40" w:after="40"/>
      </w:pPr>
      <w:r>
        <w:t>Enjoy retirement — treat it as a new beginning, celebrate the achievement, focus on fulfillment.</w:t>
      </w:r>
    </w:p>
    <w:p w14:paraId="3EAABFD9" w14:textId="77777777" w:rsidR="00B13B80" w:rsidRDefault="00B13B80">
      <w:r>
        <w:rPr>
          <w:b/>
        </w:rPr>
        <w:lastRenderedPageBreak/>
        <w:t>If you do not meet University eligibility requirements:</w:t>
      </w:r>
      <w:r>
        <w:t xml:space="preserve"> you cannot enroll in a Pitt-sponsored retiree medical plan. Alternatives include COBRA, Medicare, or external coverage through a private provider or another employer.</w:t>
      </w:r>
    </w:p>
    <w:p w14:paraId="378EACB1" w14:textId="77777777" w:rsidR="00B13B80" w:rsidRDefault="00B13B80">
      <w:pPr>
        <w:pStyle w:val="Heading2"/>
      </w:pPr>
      <w:r>
        <w:t>Your letter of intent to retire</w:t>
      </w:r>
    </w:p>
    <w:p w14:paraId="7783D95D" w14:textId="77777777" w:rsidR="00B13B80" w:rsidRDefault="00B13B80" w:rsidP="00B13B80">
      <w:pPr>
        <w:pStyle w:val="ListBullet"/>
        <w:spacing w:before="40" w:after="40"/>
      </w:pPr>
      <w:r>
        <w:t xml:space="preserve">State your job title and your last day of </w:t>
      </w:r>
      <w:proofErr w:type="gramStart"/>
      <w:r>
        <w:t>work, and</w:t>
      </w:r>
      <w:proofErr w:type="gramEnd"/>
      <w:r>
        <w:t xml:space="preserve"> include the case number from your eligibility review if you have one (it appears in the subject line of your case). Skip the case number if you have not been found eligible.</w:t>
      </w:r>
    </w:p>
    <w:p w14:paraId="1836C78A" w14:textId="77777777" w:rsidR="00B13B80" w:rsidRDefault="00B13B80" w:rsidP="00B13B80">
      <w:pPr>
        <w:pStyle w:val="ListBullet"/>
        <w:spacing w:before="40" w:after="40"/>
      </w:pPr>
      <w:r>
        <w:rPr>
          <w:b/>
        </w:rPr>
        <w:t>Optional:</w:t>
      </w:r>
      <w:r>
        <w:t xml:space="preserve"> feedback on your time at the University, and a request for Pitt email continuation — these requests are reviewed and approved at the department level and are not guaranteed.</w:t>
      </w:r>
    </w:p>
    <w:p w14:paraId="0891AB43" w14:textId="77777777" w:rsidR="00B13B80" w:rsidRDefault="00B13B80" w:rsidP="00B13B80">
      <w:pPr>
        <w:pStyle w:val="ListBullet"/>
        <w:spacing w:before="40" w:after="40"/>
      </w:pPr>
      <w:r>
        <w:t>A sample letter appears on slide 37 of the deck; the deck is posted online with the recording.</w:t>
      </w:r>
    </w:p>
    <w:p w14:paraId="5763F0AC" w14:textId="77777777" w:rsidR="00B13B80" w:rsidRDefault="00B13B80">
      <w:pPr>
        <w:pStyle w:val="Heading2"/>
      </w:pPr>
      <w:r>
        <w:t>What happens after you submit notice</w:t>
      </w:r>
    </w:p>
    <w:p w14:paraId="3014CD54" w14:textId="77777777" w:rsidR="00B13B80" w:rsidRDefault="00B13B80" w:rsidP="00B13B80">
      <w:pPr>
        <w:pStyle w:val="ListBullet"/>
        <w:spacing w:before="40" w:after="40"/>
      </w:pPr>
      <w:r>
        <w:rPr>
          <w:b/>
        </w:rPr>
        <w:t>Staff:</w:t>
      </w:r>
      <w:r>
        <w:t xml:space="preserve"> you notify your department with </w:t>
      </w:r>
      <w:proofErr w:type="gramStart"/>
      <w:r>
        <w:t>the letter</w:t>
      </w:r>
      <w:proofErr w:type="gramEnd"/>
      <w:r>
        <w:t xml:space="preserve"> of intent; department administrators update your employee record in Pitt Worx. That Pitt Worx update triggers your benefits packet and final paycheck processing — nothing downstream starts until it is done. Confirm with your administrator that it has been.</w:t>
      </w:r>
    </w:p>
    <w:p w14:paraId="2915D700" w14:textId="77777777" w:rsidR="00B13B80" w:rsidRDefault="00B13B80" w:rsidP="00B13B80">
      <w:pPr>
        <w:pStyle w:val="ListBullet"/>
        <w:spacing w:before="40" w:after="40"/>
      </w:pPr>
      <w:r>
        <w:rPr>
          <w:b/>
        </w:rPr>
        <w:t>Faculty:</w:t>
      </w:r>
      <w:r>
        <w:t xml:space="preserve"> retirements follow an approval sequence — individual department, then the Provost’s Office, then HR Client Services. Allow extra lead time.</w:t>
      </w:r>
    </w:p>
    <w:p w14:paraId="45E5D96A" w14:textId="77777777" w:rsidR="00B13B80" w:rsidRDefault="00B13B80">
      <w:pPr>
        <w:pStyle w:val="Heading2"/>
      </w:pPr>
      <w:r>
        <w:t>Benefit deduction warning</w:t>
      </w:r>
    </w:p>
    <w:p w14:paraId="1DD29D1D" w14:textId="77777777" w:rsidR="00B13B80" w:rsidRDefault="00B13B80" w:rsidP="00B13B80">
      <w:pPr>
        <w:pStyle w:val="ListBullet"/>
        <w:spacing w:before="40" w:after="40"/>
      </w:pPr>
      <w:r>
        <w:t xml:space="preserve">If your final paycheck does not cover your benefit premiums, a missed-deductions invoice is issued. Example: retiring January 5, </w:t>
      </w:r>
      <w:proofErr w:type="gramStart"/>
      <w:r>
        <w:t>2026</w:t>
      </w:r>
      <w:proofErr w:type="gramEnd"/>
      <w:r>
        <w:t xml:space="preserve"> leaves coverage through January 31, 2026, but one day of pay may not cover full Medical, Dental, Vision, or Life deductions — UPMC Benefit Management Services will direct-bill you at home for that month.</w:t>
      </w:r>
    </w:p>
    <w:p w14:paraId="33E220B3" w14:textId="77777777" w:rsidR="00B13B80" w:rsidRDefault="00B13B80" w:rsidP="00B13B80">
      <w:pPr>
        <w:pStyle w:val="ListBullet"/>
        <w:spacing w:before="40" w:after="40"/>
      </w:pPr>
      <w:r w:rsidRPr="44DACE1D">
        <w:rPr>
          <w:b/>
          <w:bCs/>
        </w:rPr>
        <w:t>Tip:</w:t>
      </w:r>
      <w:r>
        <w:t xml:space="preserve"> setting your retirement date mid- to end-of-month helps avoid a separate bill for your last month of active coverage.</w:t>
      </w:r>
    </w:p>
    <w:p w14:paraId="08101CE6" w14:textId="0FAF635F" w:rsidR="44DACE1D" w:rsidRDefault="44DACE1D" w:rsidP="44DACE1D">
      <w:pPr>
        <w:rPr>
          <w:szCs w:val="20"/>
        </w:rPr>
      </w:pPr>
    </w:p>
    <w:p w14:paraId="050D5197" w14:textId="77777777" w:rsidR="00B13B80" w:rsidRDefault="00B13B80">
      <w:pPr>
        <w:pStyle w:val="Heading1"/>
      </w:pPr>
      <w:r>
        <w:t>5. Retirement Timing and Impacts — What to Weigh</w:t>
      </w:r>
    </w:p>
    <w:p w14:paraId="6AFFCA2C" w14:textId="77777777" w:rsidR="00B13B80" w:rsidRDefault="00B13B80" w:rsidP="00B13B80">
      <w:pPr>
        <w:pStyle w:val="ListBullet"/>
        <w:spacing w:before="40" w:after="40"/>
      </w:pPr>
      <w:r>
        <w:rPr>
          <w:b/>
        </w:rPr>
        <w:t>Calendar and pay period:</w:t>
      </w:r>
      <w:r>
        <w:t xml:space="preserve"> your date drives your final paycheck and benefit cutoffs. End-of-month aligns benefit coverage end dates; end-of-pay-period avoids prorated paychecks; year-end may affect your tax bracket and bonus accrual.</w:t>
      </w:r>
    </w:p>
    <w:p w14:paraId="71FBDC4A" w14:textId="77777777" w:rsidR="00B13B80" w:rsidRDefault="00B13B80" w:rsidP="00B13B80">
      <w:pPr>
        <w:pStyle w:val="ListBullet"/>
        <w:spacing w:before="40" w:after="40"/>
      </w:pPr>
      <w:r>
        <w:rPr>
          <w:b/>
        </w:rPr>
        <w:t>Health and Medicare:</w:t>
      </w:r>
      <w:r>
        <w:t xml:space="preserve"> Medicare eligibility typically begins at age 65. Coordinate retiree medical, COBRA, or private plan start dates and confirm no gap between active and retiree/COBRA coverage.</w:t>
      </w:r>
    </w:p>
    <w:p w14:paraId="663EE8B5" w14:textId="77777777" w:rsidR="00B13B80" w:rsidRDefault="00B13B80" w:rsidP="00B13B80">
      <w:pPr>
        <w:pStyle w:val="ListBullet"/>
        <w:spacing w:before="40" w:after="40"/>
      </w:pPr>
      <w:r>
        <w:rPr>
          <w:b/>
        </w:rPr>
        <w:t>Financial readiness:</w:t>
      </w:r>
      <w:r>
        <w:t xml:space="preserve"> Social Security claiming age; pension, annuity, and 403(b)/457(b) start dates; Required Minimum Distribution (RMD) begin dates.</w:t>
      </w:r>
    </w:p>
    <w:p w14:paraId="16726244" w14:textId="77777777" w:rsidR="00B13B80" w:rsidRDefault="00B13B80" w:rsidP="00B13B80">
      <w:pPr>
        <w:pStyle w:val="ListBullet"/>
        <w:spacing w:before="40" w:after="40"/>
      </w:pPr>
      <w:r w:rsidRPr="44DACE1D">
        <w:rPr>
          <w:b/>
          <w:bCs/>
        </w:rPr>
        <w:t>Workplace transition:</w:t>
      </w:r>
      <w:r>
        <w:t xml:space="preserve"> notify supervisor and department 2–3 months ahead; plan handoffs and knowledge transfer; confirm payout of unused vacation and accrued leave.</w:t>
      </w:r>
    </w:p>
    <w:p w14:paraId="221BA817" w14:textId="14309A83" w:rsidR="44DACE1D" w:rsidRDefault="44DACE1D" w:rsidP="44DACE1D">
      <w:pPr>
        <w:rPr>
          <w:szCs w:val="20"/>
        </w:rPr>
      </w:pPr>
    </w:p>
    <w:p w14:paraId="3D307D81" w14:textId="77777777" w:rsidR="00B13B80" w:rsidRDefault="00B13B80">
      <w:pPr>
        <w:pStyle w:val="Heading1"/>
      </w:pPr>
      <w:r>
        <w:t>6. What Happens Once You Retire</w:t>
      </w:r>
    </w:p>
    <w:p w14:paraId="084B9D8D" w14:textId="77777777" w:rsidR="00B13B80" w:rsidRDefault="00B13B80">
      <w:pPr>
        <w:pStyle w:val="Heading2"/>
      </w:pPr>
      <w:r>
        <w:t>Retiree packet or COBRA</w:t>
      </w:r>
    </w:p>
    <w:p w14:paraId="57E7DBF9" w14:textId="77777777" w:rsidR="00B13B80" w:rsidRDefault="00B13B80" w:rsidP="00B13B80">
      <w:pPr>
        <w:pStyle w:val="ListBullet"/>
        <w:spacing w:before="40" w:after="40"/>
      </w:pPr>
      <w:r>
        <w:rPr>
          <w:b/>
        </w:rPr>
        <w:t>If you meet retiree eligibility requirements:</w:t>
      </w:r>
      <w:r>
        <w:t xml:space="preserve"> a Retiree Benefits Enrollment Packet is mailed roughly 45–60 days before your last day of active coverage by UPMC Benefit Management Services, with enrollment </w:t>
      </w:r>
      <w:r>
        <w:lastRenderedPageBreak/>
        <w:t xml:space="preserve">instructions. You may continue medical, dental, vision, and life coverage at retiree group rates. Review Pre-65 or </w:t>
      </w:r>
      <w:proofErr w:type="gramStart"/>
      <w:r>
        <w:t>Post-65</w:t>
      </w:r>
      <w:proofErr w:type="gramEnd"/>
      <w:r>
        <w:t xml:space="preserve"> plan options and DDB credits online.</w:t>
      </w:r>
    </w:p>
    <w:p w14:paraId="74EED0AC" w14:textId="77777777" w:rsidR="00B13B80" w:rsidRDefault="00B13B80" w:rsidP="00B13B80">
      <w:pPr>
        <w:pStyle w:val="ListBullet"/>
        <w:spacing w:before="40" w:after="40"/>
      </w:pPr>
      <w:r>
        <w:t>If you do not meet the requirements (for example, retiring before age 62 and/or not meeting the 85-point rule): a COBRA continuation packet is sent by UPMC Benefit Management Services after your last day. Coverage continues at full unsubsidized cost, and the election window is time-limited — respond promptly to avoid a gap.</w:t>
      </w:r>
    </w:p>
    <w:p w14:paraId="08C841EF" w14:textId="77777777" w:rsidR="00B13B80" w:rsidRDefault="00B13B80" w:rsidP="00B13B80">
      <w:pPr>
        <w:pStyle w:val="ListBullet"/>
        <w:spacing w:before="40" w:after="40"/>
      </w:pPr>
      <w:r>
        <w:rPr>
          <w:b/>
        </w:rPr>
        <w:t>Life insurance:</w:t>
      </w:r>
      <w:r>
        <w:t xml:space="preserve"> basic term life is included for retirees. Port/convert details for optional coverages arrive with the retiree benefits packet. Carrier: Hartford through 6/30; Securian starting 7/1.</w:t>
      </w:r>
    </w:p>
    <w:p w14:paraId="05963396" w14:textId="77777777" w:rsidR="00B13B80" w:rsidRDefault="00B13B80" w:rsidP="00B13B80">
      <w:pPr>
        <w:pStyle w:val="ListBullet"/>
        <w:spacing w:before="40" w:after="40"/>
      </w:pPr>
      <w:r>
        <w:rPr>
          <w:b/>
        </w:rPr>
        <w:t>Retirement savings:</w:t>
      </w:r>
      <w:r>
        <w:t xml:space="preserve"> contact TIAA or the Pension Center about withdrawals or distributions, depending on plan participation.</w:t>
      </w:r>
    </w:p>
    <w:p w14:paraId="6E45B916" w14:textId="77777777" w:rsidR="00B13B80" w:rsidRDefault="00B13B80" w:rsidP="00B13B80">
      <w:pPr>
        <w:pStyle w:val="ListBullet"/>
        <w:spacing w:before="40" w:after="40"/>
      </w:pPr>
      <w:r>
        <w:rPr>
          <w:b/>
        </w:rPr>
        <w:t>Education benefits:</w:t>
      </w:r>
      <w:r>
        <w:t xml:space="preserve"> eligible retirees and dependents may continue taking classes through the education benefit program — see University policies AC 20 (Faculty) or ER 05 (Staff).</w:t>
      </w:r>
    </w:p>
    <w:p w14:paraId="03DA78A8" w14:textId="77777777" w:rsidR="00B13B80" w:rsidRDefault="00B13B80" w:rsidP="00B13B80">
      <w:pPr>
        <w:pStyle w:val="ListBullet"/>
        <w:spacing w:before="40" w:after="40"/>
      </w:pPr>
      <w:r>
        <w:rPr>
          <w:b/>
        </w:rPr>
        <w:t>Tip:</w:t>
      </w:r>
      <w:r>
        <w:t xml:space="preserve"> </w:t>
      </w:r>
      <w:proofErr w:type="gramStart"/>
      <w:r>
        <w:t>retirement</w:t>
      </w:r>
      <w:proofErr w:type="gramEnd"/>
      <w:r>
        <w:t xml:space="preserve"> is a good time to update beneficiary designations on life insurance and retirement accounts, and to confirm you have a current will.</w:t>
      </w:r>
    </w:p>
    <w:p w14:paraId="6F537BA7" w14:textId="77777777" w:rsidR="00B13B80" w:rsidRDefault="00B13B80">
      <w:pPr>
        <w:pStyle w:val="Heading2"/>
      </w:pPr>
      <w:r>
        <w:t>Vacation and sick time payouts</w:t>
      </w:r>
    </w:p>
    <w:p w14:paraId="70BB9F77" w14:textId="77777777" w:rsidR="00B13B80" w:rsidRDefault="00B13B80" w:rsidP="00B13B80">
      <w:pPr>
        <w:pStyle w:val="ListBullet"/>
        <w:spacing w:before="40" w:after="40"/>
      </w:pPr>
      <w:r>
        <w:rPr>
          <w:b/>
        </w:rPr>
        <w:t>Vacation:</w:t>
      </w:r>
      <w:r>
        <w:t xml:space="preserve"> always paid out upon termination, prorated for the pay period in which termination occurs, based on your official termination date. Watch your accrual maximum — check your balance in Pitt Worx when planning your last day.</w:t>
      </w:r>
    </w:p>
    <w:p w14:paraId="68E1845A" w14:textId="77777777" w:rsidR="00B13B80" w:rsidRDefault="00B13B80" w:rsidP="00B13B80">
      <w:pPr>
        <w:pStyle w:val="ListBullet"/>
        <w:spacing w:before="40" w:after="40"/>
      </w:pPr>
      <w:r>
        <w:t>Sick time eligibility — you must meet ONE of: age 60+ with 10+ years of service, OR age 55+ with 25+ years of service.</w:t>
      </w:r>
    </w:p>
    <w:p w14:paraId="2E9F4EBB" w14:textId="77777777" w:rsidR="00B13B80" w:rsidRDefault="00B13B80" w:rsidP="00B13B80">
      <w:pPr>
        <w:pStyle w:val="ListBullet"/>
        <w:spacing w:before="40" w:after="40"/>
      </w:pPr>
      <w:r>
        <w:t>Sick time payment equals the LESSER of (unused sick hours × one-half your daily base pay rate) or $2,500. Maximum accrual is 900 hours for all staff, full- or part-time.</w:t>
      </w:r>
    </w:p>
    <w:p w14:paraId="309C3433" w14:textId="77777777" w:rsidR="00B13B80" w:rsidRDefault="00B13B80" w:rsidP="00B13B80">
      <w:pPr>
        <w:pStyle w:val="ListBullet"/>
        <w:spacing w:before="40" w:after="40"/>
      </w:pPr>
      <w:r>
        <w:t>Payout schedule — Exempt (monthly): terminated on or before the 15th, included in the final pay period; terminated after the 15th, paid separately in the next pay period. Non-exempt (biweekly): payout occurs in the final regular pay period, per the processing date in Pitt Worx.</w:t>
      </w:r>
    </w:p>
    <w:p w14:paraId="738B6151" w14:textId="77777777" w:rsidR="00B13B80" w:rsidRDefault="00B13B80" w:rsidP="00B13B80">
      <w:pPr>
        <w:pStyle w:val="ListBullet"/>
        <w:spacing w:before="40" w:after="40"/>
      </w:pPr>
      <w:r>
        <w:t xml:space="preserve">There is no payout for unused Personal Time. Both vacation and sick payouts are processed through Pitt </w:t>
      </w:r>
      <w:proofErr w:type="gramStart"/>
      <w:r>
        <w:t>Worx</w:t>
      </w:r>
      <w:proofErr w:type="gramEnd"/>
      <w:r>
        <w:t xml:space="preserve"> and timing depends on the termination processing date.</w:t>
      </w:r>
    </w:p>
    <w:p w14:paraId="452143A1" w14:textId="77777777" w:rsidR="00B13B80" w:rsidRDefault="00B13B80">
      <w:pPr>
        <w:pStyle w:val="Heading2"/>
      </w:pPr>
      <w:r>
        <w:t>Voluntary Sick Time Donation Bank (VSTDB)</w:t>
      </w:r>
    </w:p>
    <w:p w14:paraId="282C6436" w14:textId="77777777" w:rsidR="00B13B80" w:rsidRDefault="00B13B80" w:rsidP="00B13B80">
      <w:pPr>
        <w:pStyle w:val="ListBullet"/>
        <w:spacing w:before="40" w:after="40"/>
      </w:pPr>
      <w:proofErr w:type="spellStart"/>
      <w:r>
        <w:t>Lets</w:t>
      </w:r>
      <w:proofErr w:type="spellEnd"/>
      <w:r>
        <w:t xml:space="preserve"> Pitt staff donate accrued, unused sick time to a shared bank for staff on approved continuous medical leave (FMLA, short-term disability, or medical leave of absence), extending the paid portion of their leave.</w:t>
      </w:r>
    </w:p>
    <w:p w14:paraId="4A0D3499" w14:textId="77777777" w:rsidR="00B13B80" w:rsidRDefault="00B13B80" w:rsidP="00B13B80">
      <w:pPr>
        <w:pStyle w:val="ListBullet"/>
        <w:spacing w:before="40" w:after="40"/>
      </w:pPr>
      <w:r>
        <w:rPr>
          <w:b/>
        </w:rPr>
        <w:t xml:space="preserve">Who can </w:t>
      </w:r>
      <w:proofErr w:type="gramStart"/>
      <w:r>
        <w:rPr>
          <w:b/>
        </w:rPr>
        <w:t>donate:</w:t>
      </w:r>
      <w:proofErr w:type="gramEnd"/>
      <w:r>
        <w:t xml:space="preserve"> full- or part-time staff with at least 45 days of accrued sick time; your donation must not drop your balance below that threshold. You may donate once during your Pitt career.</w:t>
      </w:r>
    </w:p>
    <w:p w14:paraId="77A7A845" w14:textId="77777777" w:rsidR="00B13B80" w:rsidRDefault="00B13B80" w:rsidP="00B13B80">
      <w:pPr>
        <w:pStyle w:val="ListBullet"/>
        <w:spacing w:before="40" w:after="40"/>
      </w:pPr>
      <w:r>
        <w:rPr>
          <w:b/>
        </w:rPr>
        <w:t>How:</w:t>
      </w:r>
      <w:r>
        <w:t xml:space="preserve"> submit an online request selecting Service Area “Timecards” and I Need Help With… “Voluntary Sick Time Donation,” then complete “Voluntary Sick Bank: Donating Time.” Details in the Staff Handbook: Paid and Unpaid Time Off.</w:t>
      </w:r>
    </w:p>
    <w:p w14:paraId="75EF6556" w14:textId="77777777" w:rsidR="00B13B80" w:rsidRDefault="00B13B80" w:rsidP="00B13B80">
      <w:pPr>
        <w:pStyle w:val="ListBullet"/>
        <w:spacing w:before="40" w:after="40"/>
      </w:pPr>
      <w:r>
        <w:rPr>
          <w:b/>
        </w:rPr>
        <w:t>Retirement tip:</w:t>
      </w:r>
      <w:r>
        <w:t xml:space="preserve"> consider donating if you would otherwise leave accrued unused sick time on the table.</w:t>
      </w:r>
    </w:p>
    <w:p w14:paraId="7C0F8142" w14:textId="77777777" w:rsidR="00B13B80" w:rsidRDefault="00B13B80">
      <w:pPr>
        <w:pStyle w:val="Heading2"/>
      </w:pPr>
      <w:r>
        <w:t>Address changes and W-2 access after you separate</w:t>
      </w:r>
    </w:p>
    <w:p w14:paraId="79DECC44" w14:textId="77777777" w:rsidR="00B13B80" w:rsidRDefault="00B13B80" w:rsidP="00B13B80">
      <w:pPr>
        <w:pStyle w:val="ListBullet"/>
        <w:spacing w:before="40" w:after="40"/>
      </w:pPr>
      <w:r>
        <w:t>Check your address in Pitt Worx before your last day so HR and Payroll mail reaches you.</w:t>
      </w:r>
    </w:p>
    <w:p w14:paraId="734F4051" w14:textId="77777777" w:rsidR="00B13B80" w:rsidRDefault="00B13B80" w:rsidP="00B13B80">
      <w:pPr>
        <w:pStyle w:val="ListBullet"/>
        <w:spacing w:before="40" w:after="40"/>
      </w:pPr>
      <w:r>
        <w:t>To change your address after separation without Pitt Passport access: create an account at paperlessemployee.com/pitt. You will need your Social Security number, date of birth, and a personal contact method for multifactor authentication.</w:t>
      </w:r>
    </w:p>
    <w:p w14:paraId="426347C1" w14:textId="77777777" w:rsidR="00B13B80" w:rsidRDefault="00B13B80" w:rsidP="00B13B80">
      <w:pPr>
        <w:pStyle w:val="ListBullet"/>
        <w:spacing w:before="40" w:after="40"/>
      </w:pPr>
      <w:r w:rsidRPr="44DACE1D">
        <w:rPr>
          <w:b/>
          <w:bCs/>
        </w:rPr>
        <w:t>W-2s:</w:t>
      </w:r>
      <w:r>
        <w:t xml:space="preserve"> as a former or inactive employee you can access your Forms W-2 through ADP, which remains available after your Pitt access ends. See the ADP Form W-2 access instructions at payroll.pitt.edu.</w:t>
      </w:r>
    </w:p>
    <w:p w14:paraId="71C74BE9" w14:textId="3DFD5115" w:rsidR="44DACE1D" w:rsidRDefault="44DACE1D" w:rsidP="44DACE1D">
      <w:pPr>
        <w:rPr>
          <w:szCs w:val="20"/>
        </w:rPr>
      </w:pPr>
    </w:p>
    <w:p w14:paraId="75C49957" w14:textId="77777777" w:rsidR="00B13B80" w:rsidRDefault="00B13B80">
      <w:pPr>
        <w:pStyle w:val="Heading1"/>
      </w:pPr>
      <w:r>
        <w:lastRenderedPageBreak/>
        <w:t>7. Returning to Work at Pitt After Retiring</w:t>
      </w:r>
    </w:p>
    <w:p w14:paraId="123BA3D5" w14:textId="77777777" w:rsidR="00B13B80" w:rsidRDefault="00B13B80" w:rsidP="00B13B80">
      <w:pPr>
        <w:pStyle w:val="ListBullet"/>
        <w:spacing w:before="40" w:after="40"/>
      </w:pPr>
      <w:r>
        <w:t>Temporary capacity only — full-time or benefits-eligible re-employment is not permitted for official retirees.</w:t>
      </w:r>
    </w:p>
    <w:p w14:paraId="1508D45C" w14:textId="77777777" w:rsidR="00B13B80" w:rsidRDefault="00B13B80" w:rsidP="00B13B80">
      <w:pPr>
        <w:pStyle w:val="ListBullet"/>
        <w:spacing w:before="40" w:after="40"/>
      </w:pPr>
      <w:r>
        <w:t>If you collect Social Security, income restrictions may apply depending on your age; contact your local Social Security office.</w:t>
      </w:r>
    </w:p>
    <w:p w14:paraId="0EC786D2" w14:textId="77777777" w:rsidR="00B13B80" w:rsidRDefault="00B13B80" w:rsidP="00B13B80">
      <w:pPr>
        <w:pStyle w:val="ListBullet"/>
        <w:spacing w:before="40" w:after="40"/>
      </w:pPr>
      <w:r>
        <w:t>Returning to work may affect your ability to take distributions from retirement savings accounts — consult TIAA or the Pension Center before accepting a position.</w:t>
      </w:r>
    </w:p>
    <w:p w14:paraId="178BDF03" w14:textId="77777777" w:rsidR="00B13B80" w:rsidRDefault="00B13B80" w:rsidP="00B13B80">
      <w:pPr>
        <w:pStyle w:val="ListBullet"/>
        <w:spacing w:before="40" w:after="40"/>
      </w:pPr>
      <w:r>
        <w:t>Retirees who return to work are not eligible for active employee benefits; retiree benefits continue. Exception: if your spouse/partner is an active Pitt employee you may join their active coverage — note that DDB credits do not accrue in that scenario.</w:t>
      </w:r>
    </w:p>
    <w:p w14:paraId="7C586DB6" w14:textId="085A6D62" w:rsidR="44DACE1D" w:rsidRDefault="44DACE1D" w:rsidP="44DACE1D">
      <w:pPr>
        <w:rPr>
          <w:szCs w:val="20"/>
        </w:rPr>
      </w:pPr>
    </w:p>
    <w:p w14:paraId="6BF73CD2" w14:textId="77777777" w:rsidR="00B13B80" w:rsidRDefault="00B13B80">
      <w:pPr>
        <w:pStyle w:val="Heading1"/>
      </w:pPr>
      <w:r>
        <w:t>8. Next Steps, Feedback, and Resources</w:t>
      </w:r>
    </w:p>
    <w:p w14:paraId="06E5301D" w14:textId="77777777" w:rsidR="00B13B80" w:rsidRDefault="00B13B80" w:rsidP="00B13B80">
      <w:pPr>
        <w:pStyle w:val="ListBullet"/>
        <w:spacing w:before="40" w:after="40"/>
      </w:pPr>
      <w:r>
        <w:t>Register for upcoming sessions at hr.pitt.edu/Retirement-Readiness — Session 2, Thursday, May 28, Noon–1 p.m., Pre-65 Health Insurance (coverage when you retire between 62–64), presented by Pitt Benefits and Amplifon; Session 3, Tuesday, June 16, Noon–1 p.m., Medicare &amp; Social Security benefit strategies, featuring TIAA and PA MEDI/PACE.</w:t>
      </w:r>
    </w:p>
    <w:p w14:paraId="21738AB3" w14:textId="77777777" w:rsidR="00B13B80" w:rsidRDefault="00B13B80" w:rsidP="00B13B80">
      <w:pPr>
        <w:pStyle w:val="ListBullet"/>
        <w:spacing w:before="40" w:after="40"/>
      </w:pPr>
      <w:r>
        <w:t>Download the Retirement Readiness Passport to track progress through the 10-session series, and visit the dedicated webpage for flyers, registration, FAQs, and recordings (TIAA sessions are not recorded and those slides are not distributed).</w:t>
      </w:r>
    </w:p>
    <w:p w14:paraId="689CB769" w14:textId="77777777" w:rsidR="00B13B80" w:rsidRDefault="00B13B80" w:rsidP="00B13B80">
      <w:pPr>
        <w:pStyle w:val="ListBullet"/>
        <w:spacing w:before="40" w:after="40"/>
      </w:pPr>
      <w:r>
        <w:rPr>
          <w:b/>
        </w:rPr>
        <w:t>Give feedback:</w:t>
      </w:r>
      <w:r>
        <w:t xml:space="preserve"> a Qualtrics survey is emailed to your registration address when the recording is available, covering presenters, content and format, and future topics. Responses shape future Benefits &amp; Welfare Committee programming.</w:t>
      </w:r>
    </w:p>
    <w:p w14:paraId="5F3534CC" w14:textId="77777777" w:rsidR="00B13B80" w:rsidRDefault="00B13B80" w:rsidP="00B13B80">
      <w:pPr>
        <w:pStyle w:val="ListBullet"/>
        <w:spacing w:before="40" w:after="40"/>
      </w:pPr>
      <w:r>
        <w:rPr>
          <w:b/>
        </w:rPr>
        <w:t>Questions worth asking this week:</w:t>
      </w:r>
      <w:r>
        <w:t xml:space="preserve"> Am I retiring within 6 months (if yes, request a formal review; if not, use the calculator)? What </w:t>
      </w:r>
      <w:proofErr w:type="gramStart"/>
      <w:r>
        <w:t>ages</w:t>
      </w:r>
      <w:proofErr w:type="gramEnd"/>
      <w:r>
        <w:t xml:space="preserve"> will my dependents be on my retirement date? What is my target date and how will it affect my final paycheck, unused vacation and sick time, and the end of active coverage? When will I give written notice? Is my Pitt Worx home address current? Am I working at least 4 months out?</w:t>
      </w:r>
    </w:p>
    <w:p w14:paraId="17376767" w14:textId="77777777" w:rsidR="00B13B80" w:rsidRDefault="00B13B80" w:rsidP="00B13B80">
      <w:pPr>
        <w:pStyle w:val="ListBullet"/>
        <w:spacing w:before="40" w:after="40"/>
      </w:pPr>
      <w:r>
        <w:rPr>
          <w:b/>
        </w:rPr>
        <w:t>Reference links:</w:t>
      </w:r>
      <w:r>
        <w:t xml:space="preserve"> Staff Handbook — Paid and Unpaid Time Off: hr.pitt.edu/staff-handbook/paid-and-unpaid-time-off. Pitt Worx Hub pages for reviewing time off balances and editing home address/tax information (pitt.sharepoint.com human-resources site). Post-separation address changes: paperlessemployee.com/pitt. W-2 access: payroll.pitt.edu employee self-service. Submit questions: hr.pitt.edu/contact-</w:t>
      </w:r>
      <w:proofErr w:type="spellStart"/>
      <w:r>
        <w:t>ohr</w:t>
      </w:r>
      <w:proofErr w:type="spellEnd"/>
      <w:r>
        <w:t>.</w:t>
      </w:r>
    </w:p>
    <w:p w14:paraId="4386A678" w14:textId="77777777" w:rsidR="00B13B80" w:rsidRDefault="00B13B80">
      <w:pPr>
        <w:pStyle w:val="Heading2"/>
      </w:pPr>
      <w:r>
        <w:t>Who to contact</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2514"/>
        <w:gridCol w:w="3781"/>
        <w:gridCol w:w="3779"/>
      </w:tblGrid>
      <w:tr w:rsidR="00B13B80" w14:paraId="09793AB0" w14:textId="77777777">
        <w:trPr>
          <w:tblHeader/>
        </w:trPr>
        <w:tc>
          <w:tcPr>
            <w:tcW w:w="2520" w:type="dxa"/>
            <w:shd w:val="clear" w:color="003594" w:fill="003594"/>
            <w:tcMar>
              <w:top w:w="60" w:type="dxa"/>
              <w:left w:w="120" w:type="dxa"/>
              <w:bottom w:w="60" w:type="dxa"/>
              <w:right w:w="120" w:type="dxa"/>
            </w:tcMar>
            <w:vAlign w:val="center"/>
          </w:tcPr>
          <w:p w14:paraId="1FAD3172" w14:textId="77777777" w:rsidR="00B13B80" w:rsidRDefault="00B13B80">
            <w:pPr>
              <w:rPr>
                <w:rFonts w:eastAsiaTheme="majorEastAsia"/>
                <w:b/>
                <w:color w:val="FFFFFF"/>
                <w:sz w:val="19"/>
                <w:szCs w:val="32"/>
              </w:rPr>
            </w:pPr>
            <w:r>
              <w:rPr>
                <w:rFonts w:eastAsiaTheme="majorEastAsia"/>
                <w:b/>
                <w:color w:val="FFFFFF"/>
                <w:sz w:val="19"/>
                <w:szCs w:val="32"/>
              </w:rPr>
              <w:t>Office / Contact</w:t>
            </w:r>
          </w:p>
        </w:tc>
        <w:tc>
          <w:tcPr>
            <w:tcW w:w="3800" w:type="dxa"/>
            <w:shd w:val="clear" w:color="003594" w:fill="003594"/>
            <w:tcMar>
              <w:top w:w="60" w:type="dxa"/>
              <w:left w:w="120" w:type="dxa"/>
              <w:bottom w:w="60" w:type="dxa"/>
              <w:right w:w="120" w:type="dxa"/>
            </w:tcMar>
            <w:vAlign w:val="center"/>
          </w:tcPr>
          <w:p w14:paraId="524EB2D0" w14:textId="77777777" w:rsidR="00B13B80" w:rsidRDefault="00B13B80">
            <w:pPr>
              <w:rPr>
                <w:rFonts w:eastAsiaTheme="majorEastAsia"/>
                <w:b/>
                <w:color w:val="FFFFFF"/>
                <w:sz w:val="19"/>
                <w:szCs w:val="32"/>
              </w:rPr>
            </w:pPr>
            <w:r>
              <w:rPr>
                <w:rFonts w:eastAsiaTheme="majorEastAsia"/>
                <w:b/>
                <w:color w:val="FFFFFF"/>
                <w:sz w:val="19"/>
                <w:szCs w:val="32"/>
              </w:rPr>
              <w:t>Topics</w:t>
            </w:r>
          </w:p>
        </w:tc>
        <w:tc>
          <w:tcPr>
            <w:tcW w:w="3760" w:type="dxa"/>
            <w:shd w:val="clear" w:color="003594" w:fill="003594"/>
            <w:tcMar>
              <w:top w:w="60" w:type="dxa"/>
              <w:left w:w="120" w:type="dxa"/>
              <w:bottom w:w="60" w:type="dxa"/>
              <w:right w:w="120" w:type="dxa"/>
            </w:tcMar>
            <w:vAlign w:val="center"/>
          </w:tcPr>
          <w:p w14:paraId="302EAB95" w14:textId="77777777" w:rsidR="00B13B80" w:rsidRDefault="00B13B80">
            <w:pPr>
              <w:rPr>
                <w:rFonts w:eastAsiaTheme="majorEastAsia"/>
                <w:b/>
                <w:color w:val="FFFFFF"/>
                <w:sz w:val="19"/>
                <w:szCs w:val="32"/>
              </w:rPr>
            </w:pPr>
            <w:r>
              <w:rPr>
                <w:rFonts w:eastAsiaTheme="majorEastAsia"/>
                <w:b/>
                <w:color w:val="FFFFFF"/>
                <w:sz w:val="19"/>
                <w:szCs w:val="32"/>
              </w:rPr>
              <w:t>Where to learn more</w:t>
            </w:r>
          </w:p>
        </w:tc>
      </w:tr>
      <w:tr w:rsidR="00B13B80" w14:paraId="38B33497" w14:textId="77777777">
        <w:tc>
          <w:tcPr>
            <w:tcW w:w="2520" w:type="dxa"/>
            <w:shd w:val="clear" w:color="D6E4F7" w:fill="D6E4F7"/>
            <w:tcMar>
              <w:top w:w="60" w:type="dxa"/>
              <w:left w:w="120" w:type="dxa"/>
              <w:bottom w:w="60" w:type="dxa"/>
              <w:right w:w="120" w:type="dxa"/>
            </w:tcMar>
          </w:tcPr>
          <w:p w14:paraId="0ACD3753" w14:textId="77777777" w:rsidR="00B13B80" w:rsidRDefault="00B13B80">
            <w:pPr>
              <w:rPr>
                <w:rFonts w:eastAsiaTheme="majorEastAsia"/>
                <w:b/>
                <w:color w:val="003594"/>
                <w:sz w:val="19"/>
                <w:szCs w:val="32"/>
              </w:rPr>
            </w:pPr>
            <w:r>
              <w:rPr>
                <w:rFonts w:eastAsiaTheme="majorEastAsia"/>
                <w:b/>
                <w:color w:val="003594"/>
                <w:sz w:val="19"/>
                <w:szCs w:val="32"/>
              </w:rPr>
              <w:t>OHR Benefits Department</w:t>
            </w:r>
          </w:p>
          <w:p w14:paraId="7DD02644" w14:textId="77777777" w:rsidR="00B13B80" w:rsidRDefault="00B13B80">
            <w:pPr>
              <w:rPr>
                <w:rFonts w:eastAsiaTheme="majorEastAsia"/>
                <w:color w:val="003594"/>
                <w:sz w:val="19"/>
                <w:szCs w:val="32"/>
              </w:rPr>
            </w:pPr>
            <w:r>
              <w:rPr>
                <w:rFonts w:eastAsiaTheme="majorEastAsia"/>
                <w:color w:val="003594"/>
                <w:sz w:val="19"/>
                <w:szCs w:val="32"/>
              </w:rPr>
              <w:t>833-852-2210</w:t>
            </w:r>
          </w:p>
          <w:p w14:paraId="35590AF8" w14:textId="77777777" w:rsidR="00B13B80" w:rsidRDefault="00B13B80">
            <w:pPr>
              <w:rPr>
                <w:rFonts w:eastAsiaTheme="majorEastAsia"/>
                <w:color w:val="003594"/>
                <w:sz w:val="19"/>
                <w:szCs w:val="32"/>
              </w:rPr>
            </w:pPr>
            <w:r>
              <w:rPr>
                <w:rFonts w:eastAsiaTheme="majorEastAsia"/>
                <w:color w:val="003594"/>
                <w:sz w:val="19"/>
                <w:szCs w:val="32"/>
              </w:rPr>
              <w:t>Mon–Fri 8:30 a.m.–5 p.m.</w:t>
            </w:r>
          </w:p>
          <w:p w14:paraId="3406A722" w14:textId="77777777" w:rsidR="00B13B80" w:rsidRDefault="00B13B80">
            <w:pPr>
              <w:rPr>
                <w:rFonts w:eastAsiaTheme="majorEastAsia"/>
                <w:color w:val="003594"/>
                <w:sz w:val="19"/>
                <w:szCs w:val="32"/>
              </w:rPr>
            </w:pPr>
            <w:r>
              <w:rPr>
                <w:rFonts w:eastAsiaTheme="majorEastAsia"/>
                <w:color w:val="003594"/>
                <w:sz w:val="19"/>
                <w:szCs w:val="32"/>
              </w:rPr>
              <w:t>hr.pitt.edu/contact-</w:t>
            </w:r>
            <w:proofErr w:type="spellStart"/>
            <w:r>
              <w:rPr>
                <w:rFonts w:eastAsiaTheme="majorEastAsia"/>
                <w:color w:val="003594"/>
                <w:sz w:val="19"/>
                <w:szCs w:val="32"/>
              </w:rPr>
              <w:t>ohr</w:t>
            </w:r>
            <w:proofErr w:type="spellEnd"/>
          </w:p>
        </w:tc>
        <w:tc>
          <w:tcPr>
            <w:tcW w:w="3800" w:type="dxa"/>
            <w:shd w:val="clear" w:color="FFFFFF" w:fill="FFFFFF"/>
            <w:tcMar>
              <w:top w:w="60" w:type="dxa"/>
              <w:left w:w="120" w:type="dxa"/>
              <w:bottom w:w="60" w:type="dxa"/>
              <w:right w:w="120" w:type="dxa"/>
            </w:tcMar>
          </w:tcPr>
          <w:p w14:paraId="7E46916C" w14:textId="77777777" w:rsidR="00B13B80" w:rsidRDefault="00B13B80">
            <w:pPr>
              <w:rPr>
                <w:rFonts w:eastAsiaTheme="majorEastAsia"/>
                <w:sz w:val="19"/>
                <w:szCs w:val="32"/>
              </w:rPr>
            </w:pPr>
            <w:r>
              <w:rPr>
                <w:rFonts w:eastAsiaTheme="majorEastAsia"/>
                <w:sz w:val="19"/>
                <w:szCs w:val="32"/>
              </w:rPr>
              <w:t xml:space="preserve">Retiree status and eligibility; Steps Toward Retirement checklist; Pre-65 and </w:t>
            </w:r>
            <w:proofErr w:type="gramStart"/>
            <w:r>
              <w:rPr>
                <w:rFonts w:eastAsiaTheme="majorEastAsia"/>
                <w:sz w:val="19"/>
                <w:szCs w:val="32"/>
              </w:rPr>
              <w:t>Post-65</w:t>
            </w:r>
            <w:proofErr w:type="gramEnd"/>
            <w:r>
              <w:rPr>
                <w:rFonts w:eastAsiaTheme="majorEastAsia"/>
                <w:sz w:val="19"/>
                <w:szCs w:val="32"/>
              </w:rPr>
              <w:t xml:space="preserve"> coverage; Defined Dollar Benefit Program; Defined Contribution Plan (TIAA); Defined Benefit Pension Plan (University Pension Center); helpful tools</w:t>
            </w:r>
          </w:p>
        </w:tc>
        <w:tc>
          <w:tcPr>
            <w:tcW w:w="3760" w:type="dxa"/>
            <w:shd w:val="clear" w:color="FFFFFF" w:fill="FFFFFF"/>
            <w:tcMar>
              <w:top w:w="60" w:type="dxa"/>
              <w:left w:w="120" w:type="dxa"/>
              <w:bottom w:w="60" w:type="dxa"/>
              <w:right w:w="120" w:type="dxa"/>
            </w:tcMar>
          </w:tcPr>
          <w:p w14:paraId="7445E6C6" w14:textId="77777777" w:rsidR="00B13B80" w:rsidRDefault="00B13B80">
            <w:pPr>
              <w:rPr>
                <w:rFonts w:eastAsiaTheme="majorEastAsia"/>
                <w:sz w:val="19"/>
                <w:szCs w:val="32"/>
              </w:rPr>
            </w:pPr>
            <w:r>
              <w:rPr>
                <w:rFonts w:eastAsiaTheme="majorEastAsia"/>
                <w:sz w:val="19"/>
                <w:szCs w:val="32"/>
              </w:rPr>
              <w:t>hr.pitt.edu/retirees</w:t>
            </w:r>
          </w:p>
        </w:tc>
      </w:tr>
      <w:tr w:rsidR="00B13B80" w14:paraId="38273EED" w14:textId="77777777">
        <w:tc>
          <w:tcPr>
            <w:tcW w:w="2520" w:type="dxa"/>
            <w:shd w:val="clear" w:color="D6E4F7" w:fill="D6E4F7"/>
            <w:tcMar>
              <w:top w:w="60" w:type="dxa"/>
              <w:left w:w="120" w:type="dxa"/>
              <w:bottom w:w="60" w:type="dxa"/>
              <w:right w:w="120" w:type="dxa"/>
            </w:tcMar>
          </w:tcPr>
          <w:p w14:paraId="4DF545AB" w14:textId="77777777" w:rsidR="00B13B80" w:rsidRDefault="00B13B80">
            <w:pPr>
              <w:rPr>
                <w:rFonts w:eastAsiaTheme="majorEastAsia"/>
                <w:b/>
                <w:color w:val="003594"/>
                <w:sz w:val="19"/>
                <w:szCs w:val="32"/>
              </w:rPr>
            </w:pPr>
            <w:r>
              <w:rPr>
                <w:rFonts w:eastAsiaTheme="majorEastAsia"/>
                <w:b/>
                <w:color w:val="003594"/>
                <w:sz w:val="19"/>
                <w:szCs w:val="32"/>
              </w:rPr>
              <w:t>OHR Client Services</w:t>
            </w:r>
          </w:p>
          <w:p w14:paraId="557E8F88" w14:textId="77777777" w:rsidR="00B13B80" w:rsidRDefault="00B13B80">
            <w:pPr>
              <w:rPr>
                <w:rFonts w:eastAsiaTheme="majorEastAsia"/>
                <w:color w:val="003594"/>
                <w:sz w:val="19"/>
                <w:szCs w:val="32"/>
              </w:rPr>
            </w:pPr>
            <w:r>
              <w:rPr>
                <w:rFonts w:eastAsiaTheme="majorEastAsia"/>
                <w:color w:val="003594"/>
                <w:sz w:val="19"/>
                <w:szCs w:val="32"/>
              </w:rPr>
              <w:t>412-624-7000</w:t>
            </w:r>
          </w:p>
        </w:tc>
        <w:tc>
          <w:tcPr>
            <w:tcW w:w="3800" w:type="dxa"/>
            <w:shd w:val="clear" w:color="FFFFFF" w:fill="FFFFFF"/>
            <w:tcMar>
              <w:top w:w="60" w:type="dxa"/>
              <w:left w:w="120" w:type="dxa"/>
              <w:bottom w:w="60" w:type="dxa"/>
              <w:right w:w="120" w:type="dxa"/>
            </w:tcMar>
          </w:tcPr>
          <w:p w14:paraId="73552926" w14:textId="77777777" w:rsidR="00B13B80" w:rsidRDefault="00B13B80">
            <w:pPr>
              <w:rPr>
                <w:rFonts w:eastAsiaTheme="majorEastAsia"/>
                <w:sz w:val="19"/>
                <w:szCs w:val="32"/>
              </w:rPr>
            </w:pPr>
            <w:r>
              <w:rPr>
                <w:rFonts w:eastAsiaTheme="majorEastAsia"/>
                <w:sz w:val="19"/>
                <w:szCs w:val="32"/>
              </w:rPr>
              <w:t>Sick and vacation accruals and payouts; donating to the Voluntary Sick Time Donation Bank; address updates after retirement</w:t>
            </w:r>
          </w:p>
        </w:tc>
        <w:tc>
          <w:tcPr>
            <w:tcW w:w="3760" w:type="dxa"/>
            <w:shd w:val="clear" w:color="FFFFFF" w:fill="FFFFFF"/>
            <w:tcMar>
              <w:top w:w="60" w:type="dxa"/>
              <w:left w:w="120" w:type="dxa"/>
              <w:bottom w:w="60" w:type="dxa"/>
              <w:right w:w="120" w:type="dxa"/>
            </w:tcMar>
          </w:tcPr>
          <w:p w14:paraId="2518815B" w14:textId="77777777" w:rsidR="00B13B80" w:rsidRDefault="00B13B80">
            <w:pPr>
              <w:rPr>
                <w:rFonts w:eastAsiaTheme="majorEastAsia"/>
                <w:sz w:val="19"/>
                <w:szCs w:val="32"/>
              </w:rPr>
            </w:pPr>
            <w:r>
              <w:rPr>
                <w:rFonts w:eastAsiaTheme="majorEastAsia"/>
                <w:sz w:val="19"/>
                <w:szCs w:val="32"/>
              </w:rPr>
              <w:t>hr.pitt.edu — Time Off; Sick Day Bank Donation</w:t>
            </w:r>
          </w:p>
        </w:tc>
      </w:tr>
      <w:tr w:rsidR="00B13B80" w14:paraId="54DD5B08" w14:textId="77777777">
        <w:tc>
          <w:tcPr>
            <w:tcW w:w="2520" w:type="dxa"/>
            <w:shd w:val="clear" w:color="D6E4F7" w:fill="D6E4F7"/>
            <w:tcMar>
              <w:top w:w="60" w:type="dxa"/>
              <w:left w:w="120" w:type="dxa"/>
              <w:bottom w:w="60" w:type="dxa"/>
              <w:right w:w="120" w:type="dxa"/>
            </w:tcMar>
          </w:tcPr>
          <w:p w14:paraId="54A5CCC8" w14:textId="77777777" w:rsidR="00B13B80" w:rsidRDefault="00B13B80">
            <w:pPr>
              <w:rPr>
                <w:rFonts w:eastAsiaTheme="majorEastAsia"/>
                <w:b/>
                <w:color w:val="003594"/>
                <w:sz w:val="19"/>
                <w:szCs w:val="32"/>
              </w:rPr>
            </w:pPr>
            <w:r>
              <w:rPr>
                <w:rFonts w:eastAsiaTheme="majorEastAsia"/>
                <w:b/>
                <w:color w:val="003594"/>
                <w:sz w:val="19"/>
                <w:szCs w:val="32"/>
              </w:rPr>
              <w:lastRenderedPageBreak/>
              <w:t>Office of the Provost</w:t>
            </w:r>
          </w:p>
          <w:p w14:paraId="77AE07D1" w14:textId="77777777" w:rsidR="00B13B80" w:rsidRDefault="00B13B80">
            <w:pPr>
              <w:rPr>
                <w:rFonts w:eastAsiaTheme="majorEastAsia"/>
                <w:color w:val="003594"/>
                <w:sz w:val="19"/>
                <w:szCs w:val="32"/>
              </w:rPr>
            </w:pPr>
            <w:r>
              <w:rPr>
                <w:rFonts w:eastAsiaTheme="majorEastAsia"/>
                <w:color w:val="003594"/>
                <w:sz w:val="19"/>
                <w:szCs w:val="32"/>
              </w:rPr>
              <w:t>412-624-4222</w:t>
            </w:r>
          </w:p>
          <w:p w14:paraId="6A6EE418" w14:textId="77777777" w:rsidR="00B13B80" w:rsidRDefault="00B13B80">
            <w:pPr>
              <w:rPr>
                <w:rFonts w:eastAsiaTheme="majorEastAsia"/>
                <w:color w:val="003594"/>
                <w:sz w:val="19"/>
                <w:szCs w:val="32"/>
              </w:rPr>
            </w:pPr>
            <w:r>
              <w:rPr>
                <w:rFonts w:eastAsiaTheme="majorEastAsia"/>
                <w:color w:val="003594"/>
                <w:sz w:val="19"/>
                <w:szCs w:val="32"/>
              </w:rPr>
              <w:t>provost@pitt.edu</w:t>
            </w:r>
          </w:p>
          <w:p w14:paraId="3B3160A2" w14:textId="77777777" w:rsidR="00B13B80" w:rsidRDefault="00B13B80">
            <w:pPr>
              <w:rPr>
                <w:rFonts w:eastAsiaTheme="majorEastAsia"/>
                <w:color w:val="003594"/>
                <w:sz w:val="19"/>
                <w:szCs w:val="32"/>
              </w:rPr>
            </w:pPr>
            <w:r>
              <w:rPr>
                <w:rFonts w:eastAsiaTheme="majorEastAsia"/>
                <w:color w:val="003594"/>
                <w:sz w:val="19"/>
                <w:szCs w:val="32"/>
              </w:rPr>
              <w:t>Faculty Handbook: faculty@pitt.edu</w:t>
            </w:r>
          </w:p>
        </w:tc>
        <w:tc>
          <w:tcPr>
            <w:tcW w:w="3800" w:type="dxa"/>
            <w:shd w:val="clear" w:color="FFFFFF" w:fill="FFFFFF"/>
            <w:tcMar>
              <w:top w:w="60" w:type="dxa"/>
              <w:left w:w="120" w:type="dxa"/>
              <w:bottom w:w="60" w:type="dxa"/>
              <w:right w:w="120" w:type="dxa"/>
            </w:tcMar>
          </w:tcPr>
          <w:p w14:paraId="7055009D" w14:textId="77777777" w:rsidR="00B13B80" w:rsidRDefault="00B13B80">
            <w:pPr>
              <w:rPr>
                <w:rFonts w:eastAsiaTheme="majorEastAsia"/>
                <w:sz w:val="19"/>
                <w:szCs w:val="32"/>
              </w:rPr>
            </w:pPr>
            <w:r>
              <w:rPr>
                <w:rFonts w:eastAsiaTheme="majorEastAsia"/>
                <w:sz w:val="19"/>
                <w:szCs w:val="32"/>
              </w:rPr>
              <w:t>Faculty Emeritus/Emerita status</w:t>
            </w:r>
          </w:p>
        </w:tc>
        <w:tc>
          <w:tcPr>
            <w:tcW w:w="3760" w:type="dxa"/>
            <w:shd w:val="clear" w:color="FFFFFF" w:fill="FFFFFF"/>
            <w:tcMar>
              <w:top w:w="60" w:type="dxa"/>
              <w:left w:w="120" w:type="dxa"/>
              <w:bottom w:w="60" w:type="dxa"/>
              <w:right w:w="120" w:type="dxa"/>
            </w:tcMar>
          </w:tcPr>
          <w:p w14:paraId="0805781B" w14:textId="77777777" w:rsidR="00B13B80" w:rsidRDefault="00B13B80">
            <w:pPr>
              <w:rPr>
                <w:rFonts w:eastAsiaTheme="majorEastAsia"/>
                <w:sz w:val="19"/>
                <w:szCs w:val="32"/>
              </w:rPr>
            </w:pPr>
            <w:r>
              <w:rPr>
                <w:rFonts w:eastAsiaTheme="majorEastAsia"/>
                <w:sz w:val="19"/>
                <w:szCs w:val="32"/>
              </w:rPr>
              <w:t>facultyhandbook.pitt.edu/</w:t>
            </w:r>
            <w:proofErr w:type="spellStart"/>
            <w:proofErr w:type="gramStart"/>
            <w:r>
              <w:rPr>
                <w:rFonts w:eastAsiaTheme="majorEastAsia"/>
                <w:sz w:val="19"/>
                <w:szCs w:val="32"/>
              </w:rPr>
              <w:t>emeritusemerita</w:t>
            </w:r>
            <w:proofErr w:type="spellEnd"/>
            <w:r>
              <w:rPr>
                <w:rFonts w:eastAsiaTheme="majorEastAsia"/>
                <w:sz w:val="19"/>
                <w:szCs w:val="32"/>
              </w:rPr>
              <w:t>-status</w:t>
            </w:r>
            <w:proofErr w:type="gramEnd"/>
          </w:p>
        </w:tc>
      </w:tr>
      <w:tr w:rsidR="00B13B80" w14:paraId="283100E6" w14:textId="77777777">
        <w:tc>
          <w:tcPr>
            <w:tcW w:w="2520" w:type="dxa"/>
            <w:shd w:val="clear" w:color="D6E4F7" w:fill="D6E4F7"/>
            <w:tcMar>
              <w:top w:w="60" w:type="dxa"/>
              <w:left w:w="120" w:type="dxa"/>
              <w:bottom w:w="60" w:type="dxa"/>
              <w:right w:w="120" w:type="dxa"/>
            </w:tcMar>
          </w:tcPr>
          <w:p w14:paraId="4AFA16BA" w14:textId="77777777" w:rsidR="00B13B80" w:rsidRDefault="00B13B80">
            <w:pPr>
              <w:rPr>
                <w:rFonts w:eastAsiaTheme="majorEastAsia"/>
                <w:b/>
                <w:color w:val="003594"/>
                <w:sz w:val="19"/>
                <w:szCs w:val="32"/>
              </w:rPr>
            </w:pPr>
            <w:r>
              <w:rPr>
                <w:rFonts w:eastAsiaTheme="majorEastAsia"/>
                <w:b/>
                <w:color w:val="003594"/>
                <w:sz w:val="19"/>
                <w:szCs w:val="32"/>
              </w:rPr>
              <w:t>TIAA / University Pension Center</w:t>
            </w:r>
          </w:p>
        </w:tc>
        <w:tc>
          <w:tcPr>
            <w:tcW w:w="3800" w:type="dxa"/>
            <w:shd w:val="clear" w:color="FFFFFF" w:fill="FFFFFF"/>
            <w:tcMar>
              <w:top w:w="60" w:type="dxa"/>
              <w:left w:w="120" w:type="dxa"/>
              <w:bottom w:w="60" w:type="dxa"/>
              <w:right w:w="120" w:type="dxa"/>
            </w:tcMar>
          </w:tcPr>
          <w:p w14:paraId="7746A8B8" w14:textId="77777777" w:rsidR="00B13B80" w:rsidRDefault="00B13B80">
            <w:pPr>
              <w:rPr>
                <w:rFonts w:eastAsiaTheme="majorEastAsia"/>
                <w:sz w:val="19"/>
                <w:szCs w:val="32"/>
              </w:rPr>
            </w:pPr>
            <w:r>
              <w:rPr>
                <w:rFonts w:eastAsiaTheme="majorEastAsia"/>
                <w:sz w:val="19"/>
                <w:szCs w:val="32"/>
              </w:rPr>
              <w:t>Retirement savings counseling and distributions</w:t>
            </w:r>
          </w:p>
        </w:tc>
        <w:tc>
          <w:tcPr>
            <w:tcW w:w="3760" w:type="dxa"/>
            <w:shd w:val="clear" w:color="FFFFFF" w:fill="FFFFFF"/>
            <w:tcMar>
              <w:top w:w="60" w:type="dxa"/>
              <w:left w:w="120" w:type="dxa"/>
              <w:bottom w:w="60" w:type="dxa"/>
              <w:right w:w="120" w:type="dxa"/>
            </w:tcMar>
          </w:tcPr>
          <w:p w14:paraId="6CC3A229" w14:textId="77777777" w:rsidR="00B13B80" w:rsidRDefault="00B13B80">
            <w:pPr>
              <w:rPr>
                <w:rFonts w:eastAsiaTheme="majorEastAsia"/>
                <w:sz w:val="19"/>
                <w:szCs w:val="32"/>
              </w:rPr>
            </w:pPr>
            <w:r>
              <w:rPr>
                <w:rFonts w:eastAsiaTheme="majorEastAsia"/>
                <w:sz w:val="19"/>
                <w:szCs w:val="32"/>
              </w:rPr>
              <w:t>TIAA 1-800-682-9139 (counseling), 1-800-732-8353 (appointments), tiaa.org/</w:t>
            </w:r>
            <w:proofErr w:type="spellStart"/>
            <w:r>
              <w:rPr>
                <w:rFonts w:eastAsiaTheme="majorEastAsia"/>
                <w:sz w:val="19"/>
                <w:szCs w:val="32"/>
              </w:rPr>
              <w:t>schedulenow</w:t>
            </w:r>
            <w:proofErr w:type="spellEnd"/>
            <w:r>
              <w:rPr>
                <w:rFonts w:eastAsiaTheme="majorEastAsia"/>
                <w:sz w:val="19"/>
                <w:szCs w:val="32"/>
              </w:rPr>
              <w:t>-PITT; Pension Center 1-866-283-0208</w:t>
            </w:r>
          </w:p>
        </w:tc>
      </w:tr>
    </w:tbl>
    <w:p w14:paraId="7AFC30B9" w14:textId="77777777" w:rsidR="00B13B80" w:rsidRDefault="00B13B80"/>
    <w:p w14:paraId="37E619C0" w14:textId="77777777" w:rsidR="00B13B80" w:rsidRDefault="00B13B80">
      <w:pPr>
        <w:pStyle w:val="Heading1"/>
      </w:pPr>
      <w:r>
        <w:t>9. Disclosure</w:t>
      </w:r>
    </w:p>
    <w:p w14:paraId="1176AE00" w14:textId="77777777" w:rsidR="00B13B80" w:rsidRDefault="00B13B80">
      <w:pPr>
        <w:spacing w:before="120" w:after="120"/>
      </w:pPr>
      <w:proofErr w:type="gramStart"/>
      <w:r>
        <w:t>The session</w:t>
      </w:r>
      <w:proofErr w:type="gramEnd"/>
      <w:r>
        <w:t xml:space="preserve"> material is for general educational and informational purposes and provides an overview of </w:t>
      </w:r>
      <w:proofErr w:type="gramStart"/>
      <w:r>
        <w:t>University</w:t>
      </w:r>
      <w:proofErr w:type="gramEnd"/>
      <w:r>
        <w:t xml:space="preserve"> benefit plans and related policies. It does not replace or override official plan documents, University policies, established procedures, or contracts with insurance carriers — those documents govern and supersede the presentation in all instances, and control in any conflict. Plans are based on and regulated by current federal and state law. Benefits may be modified as required by law or as the University deems necessary or appropriate, with written communication when appropriate. No one speaking on behalf of the plans has authority to modify plan terms; the plan documents govern in all cases.</w:t>
      </w:r>
    </w:p>
    <w:p w14:paraId="10FDE1E9" w14:textId="77777777" w:rsidR="00B13B80" w:rsidRDefault="00B13B80">
      <w:pPr>
        <w:spacing w:before="120" w:after="120"/>
      </w:pPr>
      <w:r>
        <w:t>Employees in a collective bargaining unit should refer to their collective bargaining agreements, which may include provisions that differ from or take precedence over this material. Additional descriptive materials are available from the carriers and the Office of Human Resources; further detail at hr.pitt.edu/benefits. Website: hr.pitt.edu/current-employees/benefits | Contact: 833-852-2210 | hr.pitt.edu/contact-</w:t>
      </w:r>
      <w:proofErr w:type="spellStart"/>
      <w:r>
        <w:t>ohr</w:t>
      </w:r>
      <w:proofErr w:type="spellEnd"/>
      <w:r>
        <w:t>.</w:t>
      </w:r>
    </w:p>
    <w:p w14:paraId="76D06C0D" w14:textId="77777777" w:rsidR="00B13B80" w:rsidRDefault="00B13B80"/>
    <w:sectPr w:rsidR="00B13B80" w:rsidSect="00B13B80">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6E9D" w14:textId="77777777" w:rsidR="00EE1BF5" w:rsidRDefault="00EE1BF5" w:rsidP="00D12708">
      <w:pPr>
        <w:spacing w:before="0" w:after="0" w:line="240" w:lineRule="auto"/>
      </w:pPr>
      <w:r>
        <w:separator/>
      </w:r>
    </w:p>
  </w:endnote>
  <w:endnote w:type="continuationSeparator" w:id="0">
    <w:p w14:paraId="5186FA40" w14:textId="77777777" w:rsidR="00EE1BF5" w:rsidRDefault="00EE1BF5" w:rsidP="00D1270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4DACE1D" w14:paraId="446F9A6D" w14:textId="77777777" w:rsidTr="44DACE1D">
      <w:trPr>
        <w:trHeight w:val="300"/>
      </w:trPr>
      <w:tc>
        <w:tcPr>
          <w:tcW w:w="3360" w:type="dxa"/>
        </w:tcPr>
        <w:p w14:paraId="5298ADD1" w14:textId="44A46906" w:rsidR="44DACE1D" w:rsidRDefault="44DACE1D" w:rsidP="44DACE1D">
          <w:pPr>
            <w:pStyle w:val="Header"/>
            <w:ind w:left="-115"/>
          </w:pPr>
        </w:p>
      </w:tc>
      <w:tc>
        <w:tcPr>
          <w:tcW w:w="3360" w:type="dxa"/>
        </w:tcPr>
        <w:p w14:paraId="50C5136D" w14:textId="5F9D01AE" w:rsidR="44DACE1D" w:rsidRDefault="44DACE1D" w:rsidP="44DACE1D">
          <w:pPr>
            <w:pStyle w:val="Header"/>
            <w:jc w:val="center"/>
          </w:pPr>
        </w:p>
      </w:tc>
      <w:tc>
        <w:tcPr>
          <w:tcW w:w="3360" w:type="dxa"/>
        </w:tcPr>
        <w:p w14:paraId="6FE51EA2" w14:textId="489A6303" w:rsidR="44DACE1D" w:rsidRDefault="44DACE1D" w:rsidP="44DACE1D">
          <w:pPr>
            <w:pStyle w:val="Header"/>
            <w:ind w:right="-115"/>
            <w:jc w:val="right"/>
          </w:pPr>
        </w:p>
      </w:tc>
    </w:tr>
  </w:tbl>
  <w:p w14:paraId="3FC2FBDB" w14:textId="7B79C6B4" w:rsidR="44DACE1D" w:rsidRDefault="44DACE1D" w:rsidP="44DACE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4DACE1D" w14:paraId="4716D6E8" w14:textId="77777777" w:rsidTr="44DACE1D">
      <w:trPr>
        <w:trHeight w:val="300"/>
      </w:trPr>
      <w:tc>
        <w:tcPr>
          <w:tcW w:w="3360" w:type="dxa"/>
        </w:tcPr>
        <w:p w14:paraId="7C56CA48" w14:textId="49866757" w:rsidR="44DACE1D" w:rsidRDefault="44DACE1D" w:rsidP="44DACE1D">
          <w:pPr>
            <w:pStyle w:val="Header"/>
            <w:ind w:left="-115"/>
          </w:pPr>
        </w:p>
      </w:tc>
      <w:tc>
        <w:tcPr>
          <w:tcW w:w="3360" w:type="dxa"/>
        </w:tcPr>
        <w:p w14:paraId="0A44952F" w14:textId="5D4AE771" w:rsidR="44DACE1D" w:rsidRDefault="44DACE1D" w:rsidP="44DACE1D">
          <w:pPr>
            <w:pStyle w:val="Header"/>
            <w:jc w:val="center"/>
          </w:pPr>
        </w:p>
      </w:tc>
      <w:tc>
        <w:tcPr>
          <w:tcW w:w="3360" w:type="dxa"/>
        </w:tcPr>
        <w:p w14:paraId="27BD94A7" w14:textId="4E1B4324" w:rsidR="44DACE1D" w:rsidRDefault="44DACE1D" w:rsidP="44DACE1D">
          <w:pPr>
            <w:pStyle w:val="Header"/>
            <w:ind w:right="-115"/>
            <w:jc w:val="right"/>
          </w:pPr>
        </w:p>
      </w:tc>
    </w:tr>
  </w:tbl>
  <w:p w14:paraId="1CCE7AF4" w14:textId="6C1F6C77" w:rsidR="44DACE1D" w:rsidRDefault="44DACE1D" w:rsidP="44DACE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4DACE1D" w14:paraId="7A296305" w14:textId="77777777" w:rsidTr="44DACE1D">
      <w:trPr>
        <w:trHeight w:val="300"/>
      </w:trPr>
      <w:tc>
        <w:tcPr>
          <w:tcW w:w="3360" w:type="dxa"/>
        </w:tcPr>
        <w:p w14:paraId="742593A2" w14:textId="6FA59E15" w:rsidR="44DACE1D" w:rsidRDefault="44DACE1D" w:rsidP="44DACE1D">
          <w:pPr>
            <w:pStyle w:val="Header"/>
            <w:ind w:left="-115"/>
          </w:pPr>
        </w:p>
      </w:tc>
      <w:tc>
        <w:tcPr>
          <w:tcW w:w="3360" w:type="dxa"/>
        </w:tcPr>
        <w:p w14:paraId="71BB5508" w14:textId="0429A8A7" w:rsidR="44DACE1D" w:rsidRDefault="44DACE1D" w:rsidP="44DACE1D">
          <w:pPr>
            <w:pStyle w:val="Header"/>
            <w:jc w:val="center"/>
          </w:pPr>
        </w:p>
      </w:tc>
      <w:tc>
        <w:tcPr>
          <w:tcW w:w="3360" w:type="dxa"/>
        </w:tcPr>
        <w:p w14:paraId="54CB45AC" w14:textId="6CCFAB1A" w:rsidR="44DACE1D" w:rsidRDefault="44DACE1D" w:rsidP="44DACE1D">
          <w:pPr>
            <w:pStyle w:val="Header"/>
            <w:ind w:right="-115"/>
            <w:jc w:val="right"/>
          </w:pPr>
        </w:p>
      </w:tc>
    </w:tr>
  </w:tbl>
  <w:p w14:paraId="1C2AAFEF" w14:textId="5779EA18" w:rsidR="44DACE1D" w:rsidRDefault="44DACE1D" w:rsidP="44DAC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DCA33" w14:textId="77777777" w:rsidR="00EE1BF5" w:rsidRDefault="00EE1BF5" w:rsidP="00D12708">
      <w:pPr>
        <w:spacing w:before="0" w:after="0" w:line="240" w:lineRule="auto"/>
      </w:pPr>
      <w:r>
        <w:separator/>
      </w:r>
    </w:p>
  </w:footnote>
  <w:footnote w:type="continuationSeparator" w:id="0">
    <w:p w14:paraId="36415B7B" w14:textId="77777777" w:rsidR="00EE1BF5" w:rsidRDefault="00EE1BF5" w:rsidP="00D1270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4DACE1D" w14:paraId="6500E5AB" w14:textId="77777777" w:rsidTr="44DACE1D">
      <w:trPr>
        <w:trHeight w:val="300"/>
      </w:trPr>
      <w:tc>
        <w:tcPr>
          <w:tcW w:w="3360" w:type="dxa"/>
        </w:tcPr>
        <w:p w14:paraId="269FE653" w14:textId="1A0FA5DB" w:rsidR="44DACE1D" w:rsidRDefault="44DACE1D" w:rsidP="44DACE1D">
          <w:pPr>
            <w:pStyle w:val="Header"/>
            <w:ind w:left="-115"/>
          </w:pPr>
        </w:p>
      </w:tc>
      <w:tc>
        <w:tcPr>
          <w:tcW w:w="3360" w:type="dxa"/>
        </w:tcPr>
        <w:p w14:paraId="2B7E7952" w14:textId="35BE3496" w:rsidR="44DACE1D" w:rsidRDefault="44DACE1D" w:rsidP="44DACE1D">
          <w:pPr>
            <w:pStyle w:val="Header"/>
            <w:jc w:val="center"/>
          </w:pPr>
        </w:p>
      </w:tc>
      <w:tc>
        <w:tcPr>
          <w:tcW w:w="3360" w:type="dxa"/>
        </w:tcPr>
        <w:p w14:paraId="2858CB20" w14:textId="2CFD2C2B" w:rsidR="44DACE1D" w:rsidRDefault="44DACE1D" w:rsidP="44DACE1D">
          <w:pPr>
            <w:pStyle w:val="Header"/>
            <w:ind w:right="-115"/>
            <w:jc w:val="right"/>
          </w:pPr>
        </w:p>
      </w:tc>
    </w:tr>
  </w:tbl>
  <w:p w14:paraId="3A12B74B" w14:textId="7C5D7568" w:rsidR="44DACE1D" w:rsidRDefault="44DACE1D" w:rsidP="44DAC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4DACE1D" w14:paraId="6D073406" w14:textId="77777777" w:rsidTr="44DACE1D">
      <w:trPr>
        <w:trHeight w:val="300"/>
      </w:trPr>
      <w:tc>
        <w:tcPr>
          <w:tcW w:w="3360" w:type="dxa"/>
        </w:tcPr>
        <w:p w14:paraId="0CB69515" w14:textId="12E7D3D8" w:rsidR="44DACE1D" w:rsidRDefault="44DACE1D" w:rsidP="44DACE1D">
          <w:pPr>
            <w:pStyle w:val="Header"/>
            <w:ind w:left="-115"/>
          </w:pPr>
        </w:p>
      </w:tc>
      <w:tc>
        <w:tcPr>
          <w:tcW w:w="3360" w:type="dxa"/>
        </w:tcPr>
        <w:p w14:paraId="2D331236" w14:textId="1A90EF80" w:rsidR="44DACE1D" w:rsidRDefault="44DACE1D" w:rsidP="44DACE1D">
          <w:pPr>
            <w:pStyle w:val="Header"/>
            <w:jc w:val="center"/>
          </w:pPr>
        </w:p>
      </w:tc>
      <w:tc>
        <w:tcPr>
          <w:tcW w:w="3360" w:type="dxa"/>
        </w:tcPr>
        <w:p w14:paraId="3D4013DB" w14:textId="7AF93211" w:rsidR="44DACE1D" w:rsidRDefault="44DACE1D" w:rsidP="44DACE1D">
          <w:pPr>
            <w:pStyle w:val="Header"/>
            <w:ind w:right="-115"/>
            <w:jc w:val="right"/>
          </w:pPr>
        </w:p>
      </w:tc>
    </w:tr>
  </w:tbl>
  <w:p w14:paraId="4BDB9BFE" w14:textId="0B5D33DD" w:rsidR="44DACE1D" w:rsidRDefault="44DACE1D" w:rsidP="44DACE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4DACE1D" w14:paraId="1B18EF5C" w14:textId="77777777" w:rsidTr="44DACE1D">
      <w:trPr>
        <w:trHeight w:val="300"/>
      </w:trPr>
      <w:tc>
        <w:tcPr>
          <w:tcW w:w="3360" w:type="dxa"/>
        </w:tcPr>
        <w:p w14:paraId="4B9868BB" w14:textId="61920A42" w:rsidR="44DACE1D" w:rsidRDefault="44DACE1D" w:rsidP="44DACE1D">
          <w:pPr>
            <w:pStyle w:val="Header"/>
            <w:ind w:left="-115"/>
          </w:pPr>
        </w:p>
      </w:tc>
      <w:tc>
        <w:tcPr>
          <w:tcW w:w="3360" w:type="dxa"/>
        </w:tcPr>
        <w:p w14:paraId="775FAEB5" w14:textId="0A285582" w:rsidR="44DACE1D" w:rsidRDefault="44DACE1D" w:rsidP="44DACE1D">
          <w:pPr>
            <w:pStyle w:val="Header"/>
            <w:jc w:val="center"/>
          </w:pPr>
        </w:p>
      </w:tc>
      <w:tc>
        <w:tcPr>
          <w:tcW w:w="3360" w:type="dxa"/>
        </w:tcPr>
        <w:p w14:paraId="2DBAA39A" w14:textId="02F0B931" w:rsidR="44DACE1D" w:rsidRDefault="44DACE1D" w:rsidP="44DACE1D">
          <w:pPr>
            <w:pStyle w:val="Header"/>
            <w:ind w:right="-115"/>
            <w:jc w:val="right"/>
          </w:pPr>
        </w:p>
      </w:tc>
    </w:tr>
  </w:tbl>
  <w:p w14:paraId="39E24DFB" w14:textId="478F1F82" w:rsidR="44DACE1D" w:rsidRDefault="44DACE1D" w:rsidP="44DACE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4B4EB1A"/>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E20B07C"/>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651A005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7F2443"/>
    <w:multiLevelType w:val="multilevel"/>
    <w:tmpl w:val="9E32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9F3F56"/>
    <w:multiLevelType w:val="multilevel"/>
    <w:tmpl w:val="1ECA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BF031D"/>
    <w:multiLevelType w:val="multilevel"/>
    <w:tmpl w:val="54CA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2D5DEB"/>
    <w:multiLevelType w:val="multilevel"/>
    <w:tmpl w:val="A2FC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1408C8"/>
    <w:multiLevelType w:val="multilevel"/>
    <w:tmpl w:val="1342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E972A3"/>
    <w:multiLevelType w:val="multilevel"/>
    <w:tmpl w:val="4E2C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F31A30"/>
    <w:multiLevelType w:val="multilevel"/>
    <w:tmpl w:val="A36C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6F012D"/>
    <w:multiLevelType w:val="multilevel"/>
    <w:tmpl w:val="BA30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224638"/>
    <w:multiLevelType w:val="multilevel"/>
    <w:tmpl w:val="2D7C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D31396"/>
    <w:multiLevelType w:val="multilevel"/>
    <w:tmpl w:val="14F0B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705D78"/>
    <w:multiLevelType w:val="multilevel"/>
    <w:tmpl w:val="36A8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340E24"/>
    <w:multiLevelType w:val="multilevel"/>
    <w:tmpl w:val="61F6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C822C2"/>
    <w:multiLevelType w:val="multilevel"/>
    <w:tmpl w:val="6CC6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78655D"/>
    <w:multiLevelType w:val="multilevel"/>
    <w:tmpl w:val="FA4E3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7E2E2F"/>
    <w:multiLevelType w:val="multilevel"/>
    <w:tmpl w:val="15B4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C0252B"/>
    <w:multiLevelType w:val="multilevel"/>
    <w:tmpl w:val="45BA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6E6D93"/>
    <w:multiLevelType w:val="multilevel"/>
    <w:tmpl w:val="FF1E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1F0C24"/>
    <w:multiLevelType w:val="multilevel"/>
    <w:tmpl w:val="F246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D76602"/>
    <w:multiLevelType w:val="multilevel"/>
    <w:tmpl w:val="6406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E4C479C"/>
    <w:multiLevelType w:val="multilevel"/>
    <w:tmpl w:val="DB0E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491DA4"/>
    <w:multiLevelType w:val="multilevel"/>
    <w:tmpl w:val="8FB0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0FE4AC2"/>
    <w:multiLevelType w:val="multilevel"/>
    <w:tmpl w:val="7E1A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BA6E9E"/>
    <w:multiLevelType w:val="multilevel"/>
    <w:tmpl w:val="F724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C6B2672"/>
    <w:multiLevelType w:val="multilevel"/>
    <w:tmpl w:val="2ABCF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157601"/>
    <w:multiLevelType w:val="multilevel"/>
    <w:tmpl w:val="AB96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FFC722D"/>
    <w:multiLevelType w:val="multilevel"/>
    <w:tmpl w:val="DE1EB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0C716C"/>
    <w:multiLevelType w:val="multilevel"/>
    <w:tmpl w:val="3EA4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BC25C5"/>
    <w:multiLevelType w:val="multilevel"/>
    <w:tmpl w:val="4E4C3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421264"/>
    <w:multiLevelType w:val="multilevel"/>
    <w:tmpl w:val="9304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A684DFC"/>
    <w:multiLevelType w:val="multilevel"/>
    <w:tmpl w:val="1E3C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46309F"/>
    <w:multiLevelType w:val="multilevel"/>
    <w:tmpl w:val="FAF40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806216D"/>
    <w:multiLevelType w:val="multilevel"/>
    <w:tmpl w:val="096C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4D54C2"/>
    <w:multiLevelType w:val="multilevel"/>
    <w:tmpl w:val="E172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B7C7811"/>
    <w:multiLevelType w:val="multilevel"/>
    <w:tmpl w:val="CF18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BC150CC"/>
    <w:multiLevelType w:val="multilevel"/>
    <w:tmpl w:val="B29E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1B2562"/>
    <w:multiLevelType w:val="multilevel"/>
    <w:tmpl w:val="96A8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0E6B78"/>
    <w:multiLevelType w:val="multilevel"/>
    <w:tmpl w:val="5794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270D43"/>
    <w:multiLevelType w:val="multilevel"/>
    <w:tmpl w:val="E3E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362A0E"/>
    <w:multiLevelType w:val="multilevel"/>
    <w:tmpl w:val="23E4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A4E1381"/>
    <w:multiLevelType w:val="multilevel"/>
    <w:tmpl w:val="E4BC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CA42F92"/>
    <w:multiLevelType w:val="multilevel"/>
    <w:tmpl w:val="41AE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9C63B8"/>
    <w:multiLevelType w:val="multilevel"/>
    <w:tmpl w:val="C6AE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E747A4"/>
    <w:multiLevelType w:val="multilevel"/>
    <w:tmpl w:val="59BC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C3655D"/>
    <w:multiLevelType w:val="multilevel"/>
    <w:tmpl w:val="FCF0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C4C3791"/>
    <w:multiLevelType w:val="multilevel"/>
    <w:tmpl w:val="DA98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FB566F"/>
    <w:multiLevelType w:val="multilevel"/>
    <w:tmpl w:val="5736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330073">
    <w:abstractNumId w:val="2"/>
  </w:num>
  <w:num w:numId="2" w16cid:durableId="1745763796">
    <w:abstractNumId w:val="1"/>
  </w:num>
  <w:num w:numId="3" w16cid:durableId="1817796076">
    <w:abstractNumId w:val="3"/>
  </w:num>
  <w:num w:numId="4" w16cid:durableId="88543818">
    <w:abstractNumId w:val="43"/>
  </w:num>
  <w:num w:numId="5" w16cid:durableId="1764298370">
    <w:abstractNumId w:val="35"/>
  </w:num>
  <w:num w:numId="6" w16cid:durableId="1763911816">
    <w:abstractNumId w:val="26"/>
  </w:num>
  <w:num w:numId="7" w16cid:durableId="1010137689">
    <w:abstractNumId w:val="16"/>
  </w:num>
  <w:num w:numId="8" w16cid:durableId="1094785518">
    <w:abstractNumId w:val="42"/>
  </w:num>
  <w:num w:numId="9" w16cid:durableId="384253885">
    <w:abstractNumId w:val="34"/>
  </w:num>
  <w:num w:numId="10" w16cid:durableId="1502163974">
    <w:abstractNumId w:val="18"/>
  </w:num>
  <w:num w:numId="11" w16cid:durableId="1908026283">
    <w:abstractNumId w:val="6"/>
  </w:num>
  <w:num w:numId="12" w16cid:durableId="1782189235">
    <w:abstractNumId w:val="46"/>
  </w:num>
  <w:num w:numId="13" w16cid:durableId="1253202623">
    <w:abstractNumId w:val="45"/>
  </w:num>
  <w:num w:numId="14" w16cid:durableId="1393112416">
    <w:abstractNumId w:val="17"/>
  </w:num>
  <w:num w:numId="15" w16cid:durableId="1286079611">
    <w:abstractNumId w:val="39"/>
  </w:num>
  <w:num w:numId="16" w16cid:durableId="2011591893">
    <w:abstractNumId w:val="13"/>
  </w:num>
  <w:num w:numId="17" w16cid:durableId="104036201">
    <w:abstractNumId w:val="38"/>
  </w:num>
  <w:num w:numId="18" w16cid:durableId="330791408">
    <w:abstractNumId w:val="36"/>
  </w:num>
  <w:num w:numId="19" w16cid:durableId="1517426001">
    <w:abstractNumId w:val="25"/>
  </w:num>
  <w:num w:numId="20" w16cid:durableId="1788229600">
    <w:abstractNumId w:val="44"/>
  </w:num>
  <w:num w:numId="21" w16cid:durableId="1527133804">
    <w:abstractNumId w:val="30"/>
  </w:num>
  <w:num w:numId="22" w16cid:durableId="708998112">
    <w:abstractNumId w:val="9"/>
  </w:num>
  <w:num w:numId="23" w16cid:durableId="167138367">
    <w:abstractNumId w:val="40"/>
  </w:num>
  <w:num w:numId="24" w16cid:durableId="1064065403">
    <w:abstractNumId w:val="21"/>
  </w:num>
  <w:num w:numId="25" w16cid:durableId="1647589654">
    <w:abstractNumId w:val="15"/>
  </w:num>
  <w:num w:numId="26" w16cid:durableId="1341084075">
    <w:abstractNumId w:val="47"/>
  </w:num>
  <w:num w:numId="27" w16cid:durableId="789667007">
    <w:abstractNumId w:val="19"/>
  </w:num>
  <w:num w:numId="28" w16cid:durableId="1819682529">
    <w:abstractNumId w:val="29"/>
  </w:num>
  <w:num w:numId="29" w16cid:durableId="1637762387">
    <w:abstractNumId w:val="32"/>
  </w:num>
  <w:num w:numId="30" w16cid:durableId="760688712">
    <w:abstractNumId w:val="33"/>
  </w:num>
  <w:num w:numId="31" w16cid:durableId="149833136">
    <w:abstractNumId w:val="7"/>
  </w:num>
  <w:num w:numId="32" w16cid:durableId="978726216">
    <w:abstractNumId w:val="37"/>
  </w:num>
  <w:num w:numId="33" w16cid:durableId="874540901">
    <w:abstractNumId w:val="22"/>
  </w:num>
  <w:num w:numId="34" w16cid:durableId="752318259">
    <w:abstractNumId w:val="31"/>
  </w:num>
  <w:num w:numId="35" w16cid:durableId="394084253">
    <w:abstractNumId w:val="24"/>
  </w:num>
  <w:num w:numId="36" w16cid:durableId="4022038">
    <w:abstractNumId w:val="23"/>
  </w:num>
  <w:num w:numId="37" w16cid:durableId="474757856">
    <w:abstractNumId w:val="11"/>
  </w:num>
  <w:num w:numId="38" w16cid:durableId="1067344663">
    <w:abstractNumId w:val="12"/>
  </w:num>
  <w:num w:numId="39" w16cid:durableId="735863329">
    <w:abstractNumId w:val="20"/>
  </w:num>
  <w:num w:numId="40" w16cid:durableId="1644002835">
    <w:abstractNumId w:val="41"/>
  </w:num>
  <w:num w:numId="41" w16cid:durableId="59863217">
    <w:abstractNumId w:val="8"/>
  </w:num>
  <w:num w:numId="42" w16cid:durableId="426275047">
    <w:abstractNumId w:val="10"/>
  </w:num>
  <w:num w:numId="43" w16cid:durableId="1600482949">
    <w:abstractNumId w:val="14"/>
  </w:num>
  <w:num w:numId="44" w16cid:durableId="5138421">
    <w:abstractNumId w:val="28"/>
  </w:num>
  <w:num w:numId="45" w16cid:durableId="1104574849">
    <w:abstractNumId w:val="48"/>
  </w:num>
  <w:num w:numId="46" w16cid:durableId="608633518">
    <w:abstractNumId w:val="4"/>
  </w:num>
  <w:num w:numId="47" w16cid:durableId="1254775364">
    <w:abstractNumId w:val="5"/>
  </w:num>
  <w:num w:numId="48" w16cid:durableId="1858544841">
    <w:abstractNumId w:val="27"/>
  </w:num>
  <w:num w:numId="49" w16cid:durableId="169024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708"/>
    <w:rsid w:val="000E71C9"/>
    <w:rsid w:val="000F0F7A"/>
    <w:rsid w:val="001A2FFD"/>
    <w:rsid w:val="00221518"/>
    <w:rsid w:val="00286A48"/>
    <w:rsid w:val="003E5385"/>
    <w:rsid w:val="00424F50"/>
    <w:rsid w:val="00483C4C"/>
    <w:rsid w:val="004D40E9"/>
    <w:rsid w:val="005B593B"/>
    <w:rsid w:val="005C3DE9"/>
    <w:rsid w:val="006106A8"/>
    <w:rsid w:val="0068367E"/>
    <w:rsid w:val="0075350B"/>
    <w:rsid w:val="00895E44"/>
    <w:rsid w:val="008F3791"/>
    <w:rsid w:val="009222E6"/>
    <w:rsid w:val="00A44E43"/>
    <w:rsid w:val="00AB21B6"/>
    <w:rsid w:val="00AD01C2"/>
    <w:rsid w:val="00B13B80"/>
    <w:rsid w:val="00BD3957"/>
    <w:rsid w:val="00BD3C0B"/>
    <w:rsid w:val="00BF02A8"/>
    <w:rsid w:val="00CA1043"/>
    <w:rsid w:val="00CE33DA"/>
    <w:rsid w:val="00D12708"/>
    <w:rsid w:val="00D34271"/>
    <w:rsid w:val="00E43F5A"/>
    <w:rsid w:val="00ED0D46"/>
    <w:rsid w:val="00EE1BF5"/>
    <w:rsid w:val="00F91162"/>
    <w:rsid w:val="00FC515B"/>
    <w:rsid w:val="098967F8"/>
    <w:rsid w:val="1749B5D1"/>
    <w:rsid w:val="2C92692F"/>
    <w:rsid w:val="32FAC8A0"/>
    <w:rsid w:val="394EFD3E"/>
    <w:rsid w:val="413D22F2"/>
    <w:rsid w:val="44DACE1D"/>
    <w:rsid w:val="4CD324A7"/>
    <w:rsid w:val="4DEA6649"/>
    <w:rsid w:val="502AA449"/>
    <w:rsid w:val="54B2739E"/>
    <w:rsid w:val="55FA64A5"/>
    <w:rsid w:val="5FF8F380"/>
    <w:rsid w:val="620ADD4C"/>
    <w:rsid w:val="6498AF0E"/>
    <w:rsid w:val="717419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37A1"/>
  <w15:chartTrackingRefBased/>
  <w15:docId w15:val="{1FECEBDE-00CC-4055-B6B2-74A390FF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B80"/>
    <w:pPr>
      <w:spacing w:before="60" w:after="60" w:line="270" w:lineRule="atLeast"/>
    </w:pPr>
    <w:rPr>
      <w:rFonts w:ascii="Arial" w:hAnsi="Arial" w:cs="Arial"/>
      <w:color w:val="333333"/>
      <w:sz w:val="20"/>
    </w:rPr>
  </w:style>
  <w:style w:type="paragraph" w:styleId="Heading1">
    <w:name w:val="heading 1"/>
    <w:basedOn w:val="Normal"/>
    <w:next w:val="Normal"/>
    <w:link w:val="Heading1Char"/>
    <w:uiPriority w:val="9"/>
    <w:qFormat/>
    <w:rsid w:val="00B13B80"/>
    <w:pPr>
      <w:keepNext/>
      <w:keepLines/>
      <w:pBdr>
        <w:bottom w:val="single" w:sz="4" w:space="0" w:color="FFB81C"/>
      </w:pBdr>
      <w:spacing w:before="360" w:after="120"/>
      <w:outlineLvl w:val="0"/>
    </w:pPr>
    <w:rPr>
      <w:rFonts w:eastAsiaTheme="majorEastAsia"/>
      <w:b/>
      <w:color w:val="003594"/>
      <w:sz w:val="28"/>
      <w:szCs w:val="40"/>
    </w:rPr>
  </w:style>
  <w:style w:type="paragraph" w:styleId="Heading2">
    <w:name w:val="heading 2"/>
    <w:basedOn w:val="Normal"/>
    <w:next w:val="Normal"/>
    <w:link w:val="Heading2Char"/>
    <w:uiPriority w:val="9"/>
    <w:unhideWhenUsed/>
    <w:qFormat/>
    <w:rsid w:val="00B13B80"/>
    <w:pPr>
      <w:keepNext/>
      <w:keepLines/>
      <w:spacing w:before="280" w:after="80"/>
      <w:outlineLvl w:val="1"/>
    </w:pPr>
    <w:rPr>
      <w:rFonts w:eastAsiaTheme="majorEastAsia"/>
      <w:b/>
      <w:color w:val="003594"/>
      <w:sz w:val="24"/>
      <w:szCs w:val="32"/>
    </w:rPr>
  </w:style>
  <w:style w:type="paragraph" w:styleId="Heading3">
    <w:name w:val="heading 3"/>
    <w:basedOn w:val="Normal"/>
    <w:next w:val="Normal"/>
    <w:link w:val="Heading3Char"/>
    <w:uiPriority w:val="9"/>
    <w:unhideWhenUsed/>
    <w:qFormat/>
    <w:rsid w:val="00B13B80"/>
    <w:pPr>
      <w:keepNext/>
      <w:keepLines/>
      <w:spacing w:before="200"/>
      <w:outlineLvl w:val="2"/>
    </w:pPr>
    <w:rPr>
      <w:rFonts w:eastAsiaTheme="majorEastAsia"/>
      <w:b/>
      <w:color w:val="444444"/>
      <w:sz w:val="22"/>
      <w:szCs w:val="28"/>
    </w:rPr>
  </w:style>
  <w:style w:type="paragraph" w:styleId="Heading4">
    <w:name w:val="heading 4"/>
    <w:basedOn w:val="Normal"/>
    <w:next w:val="Normal"/>
    <w:link w:val="Heading4Char"/>
    <w:uiPriority w:val="9"/>
    <w:semiHidden/>
    <w:unhideWhenUsed/>
    <w:qFormat/>
    <w:rsid w:val="00B13B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B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B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B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B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B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B80"/>
    <w:rPr>
      <w:rFonts w:ascii="Arial" w:eastAsiaTheme="majorEastAsia" w:hAnsi="Arial" w:cs="Arial"/>
      <w:b/>
      <w:color w:val="003594"/>
      <w:sz w:val="28"/>
      <w:szCs w:val="40"/>
    </w:rPr>
  </w:style>
  <w:style w:type="character" w:customStyle="1" w:styleId="Heading2Char">
    <w:name w:val="Heading 2 Char"/>
    <w:basedOn w:val="DefaultParagraphFont"/>
    <w:link w:val="Heading2"/>
    <w:uiPriority w:val="9"/>
    <w:rsid w:val="00B13B80"/>
    <w:rPr>
      <w:rFonts w:ascii="Arial" w:eastAsiaTheme="majorEastAsia" w:hAnsi="Arial" w:cs="Arial"/>
      <w:b/>
      <w:color w:val="003594"/>
      <w:szCs w:val="32"/>
    </w:rPr>
  </w:style>
  <w:style w:type="character" w:customStyle="1" w:styleId="Heading3Char">
    <w:name w:val="Heading 3 Char"/>
    <w:basedOn w:val="DefaultParagraphFont"/>
    <w:link w:val="Heading3"/>
    <w:uiPriority w:val="9"/>
    <w:rsid w:val="00B13B80"/>
    <w:rPr>
      <w:rFonts w:ascii="Arial" w:eastAsiaTheme="majorEastAsia" w:hAnsi="Arial" w:cs="Arial"/>
      <w:b/>
      <w:color w:val="444444"/>
      <w:sz w:val="22"/>
      <w:szCs w:val="28"/>
    </w:rPr>
  </w:style>
  <w:style w:type="character" w:customStyle="1" w:styleId="Heading4Char">
    <w:name w:val="Heading 4 Char"/>
    <w:basedOn w:val="DefaultParagraphFont"/>
    <w:link w:val="Heading4"/>
    <w:uiPriority w:val="9"/>
    <w:semiHidden/>
    <w:rsid w:val="00B13B80"/>
    <w:rPr>
      <w:rFonts w:ascii="Arial" w:eastAsiaTheme="majorEastAsia" w:hAnsi="Arial" w:cstheme="majorBidi"/>
      <w:i/>
      <w:iCs/>
      <w:color w:val="0F4761" w:themeColor="accent1" w:themeShade="BF"/>
      <w:sz w:val="20"/>
    </w:rPr>
  </w:style>
  <w:style w:type="character" w:customStyle="1" w:styleId="Heading5Char">
    <w:name w:val="Heading 5 Char"/>
    <w:basedOn w:val="DefaultParagraphFont"/>
    <w:link w:val="Heading5"/>
    <w:uiPriority w:val="9"/>
    <w:semiHidden/>
    <w:rsid w:val="00B13B80"/>
    <w:rPr>
      <w:rFonts w:ascii="Arial" w:eastAsiaTheme="majorEastAsia" w:hAnsi="Arial" w:cstheme="majorBidi"/>
      <w:color w:val="0F4761" w:themeColor="accent1" w:themeShade="BF"/>
      <w:sz w:val="20"/>
    </w:rPr>
  </w:style>
  <w:style w:type="character" w:customStyle="1" w:styleId="Heading6Char">
    <w:name w:val="Heading 6 Char"/>
    <w:basedOn w:val="DefaultParagraphFont"/>
    <w:link w:val="Heading6"/>
    <w:uiPriority w:val="9"/>
    <w:semiHidden/>
    <w:rsid w:val="00B13B80"/>
    <w:rPr>
      <w:rFonts w:ascii="Arial" w:eastAsiaTheme="majorEastAsia" w:hAnsi="Arial" w:cstheme="majorBidi"/>
      <w:i/>
      <w:iCs/>
      <w:color w:val="595959" w:themeColor="text1" w:themeTint="A6"/>
      <w:sz w:val="20"/>
    </w:rPr>
  </w:style>
  <w:style w:type="character" w:customStyle="1" w:styleId="Heading7Char">
    <w:name w:val="Heading 7 Char"/>
    <w:basedOn w:val="DefaultParagraphFont"/>
    <w:link w:val="Heading7"/>
    <w:uiPriority w:val="9"/>
    <w:semiHidden/>
    <w:rsid w:val="00B13B80"/>
    <w:rPr>
      <w:rFonts w:ascii="Arial" w:eastAsiaTheme="majorEastAsia" w:hAnsi="Arial" w:cstheme="majorBidi"/>
      <w:color w:val="595959" w:themeColor="text1" w:themeTint="A6"/>
      <w:sz w:val="20"/>
    </w:rPr>
  </w:style>
  <w:style w:type="character" w:customStyle="1" w:styleId="Heading8Char">
    <w:name w:val="Heading 8 Char"/>
    <w:basedOn w:val="DefaultParagraphFont"/>
    <w:link w:val="Heading8"/>
    <w:uiPriority w:val="9"/>
    <w:semiHidden/>
    <w:rsid w:val="00B13B80"/>
    <w:rPr>
      <w:rFonts w:ascii="Arial" w:eastAsiaTheme="majorEastAsia" w:hAnsi="Arial" w:cstheme="majorBidi"/>
      <w:i/>
      <w:iCs/>
      <w:color w:val="272727" w:themeColor="text1" w:themeTint="D8"/>
      <w:sz w:val="20"/>
    </w:rPr>
  </w:style>
  <w:style w:type="character" w:customStyle="1" w:styleId="Heading9Char">
    <w:name w:val="Heading 9 Char"/>
    <w:basedOn w:val="DefaultParagraphFont"/>
    <w:link w:val="Heading9"/>
    <w:uiPriority w:val="9"/>
    <w:semiHidden/>
    <w:rsid w:val="00B13B80"/>
    <w:rPr>
      <w:rFonts w:ascii="Arial" w:eastAsiaTheme="majorEastAsia" w:hAnsi="Arial" w:cstheme="majorBidi"/>
      <w:color w:val="272727" w:themeColor="text1" w:themeTint="D8"/>
      <w:sz w:val="20"/>
    </w:rPr>
  </w:style>
  <w:style w:type="paragraph" w:styleId="Title">
    <w:name w:val="Title"/>
    <w:basedOn w:val="Normal"/>
    <w:next w:val="Normal"/>
    <w:link w:val="TitleChar"/>
    <w:uiPriority w:val="10"/>
    <w:qFormat/>
    <w:rsid w:val="00B13B80"/>
    <w:pPr>
      <w:pBdr>
        <w:bottom w:val="single" w:sz="4" w:space="0" w:color="FFB81C"/>
      </w:pBdr>
      <w:spacing w:before="0" w:after="80"/>
      <w:contextualSpacing/>
    </w:pPr>
    <w:rPr>
      <w:rFonts w:eastAsiaTheme="majorEastAsia"/>
      <w:b/>
      <w:color w:val="003594"/>
      <w:spacing w:val="-10"/>
      <w:kern w:val="28"/>
      <w:sz w:val="36"/>
      <w:szCs w:val="56"/>
    </w:rPr>
  </w:style>
  <w:style w:type="character" w:customStyle="1" w:styleId="TitleChar">
    <w:name w:val="Title Char"/>
    <w:basedOn w:val="DefaultParagraphFont"/>
    <w:link w:val="Title"/>
    <w:uiPriority w:val="10"/>
    <w:rsid w:val="00B13B80"/>
    <w:rPr>
      <w:rFonts w:ascii="Arial" w:eastAsiaTheme="majorEastAsia" w:hAnsi="Arial" w:cs="Arial"/>
      <w:b/>
      <w:color w:val="003594"/>
      <w:spacing w:val="-10"/>
      <w:kern w:val="28"/>
      <w:sz w:val="36"/>
      <w:szCs w:val="56"/>
    </w:rPr>
  </w:style>
  <w:style w:type="paragraph" w:styleId="Subtitle">
    <w:name w:val="Subtitle"/>
    <w:basedOn w:val="Normal"/>
    <w:next w:val="Normal"/>
    <w:link w:val="SubtitleChar"/>
    <w:uiPriority w:val="11"/>
    <w:qFormat/>
    <w:rsid w:val="00B13B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B80"/>
    <w:rPr>
      <w:rFonts w:ascii="Arial" w:eastAsiaTheme="majorEastAsia" w:hAnsi="Arial" w:cstheme="majorBidi"/>
      <w:color w:val="595959" w:themeColor="text1" w:themeTint="A6"/>
      <w:spacing w:val="15"/>
      <w:sz w:val="28"/>
      <w:szCs w:val="28"/>
    </w:rPr>
  </w:style>
  <w:style w:type="paragraph" w:styleId="Quote">
    <w:name w:val="Quote"/>
    <w:basedOn w:val="Normal"/>
    <w:next w:val="Normal"/>
    <w:link w:val="QuoteChar"/>
    <w:uiPriority w:val="29"/>
    <w:qFormat/>
    <w:rsid w:val="00B13B80"/>
    <w:pPr>
      <w:spacing w:before="160"/>
      <w:jc w:val="center"/>
    </w:pPr>
    <w:rPr>
      <w:i/>
      <w:iCs/>
      <w:color w:val="404040" w:themeColor="text1" w:themeTint="BF"/>
    </w:rPr>
  </w:style>
  <w:style w:type="character" w:customStyle="1" w:styleId="QuoteChar">
    <w:name w:val="Quote Char"/>
    <w:basedOn w:val="DefaultParagraphFont"/>
    <w:link w:val="Quote"/>
    <w:uiPriority w:val="29"/>
    <w:rsid w:val="00B13B80"/>
    <w:rPr>
      <w:rFonts w:ascii="Arial" w:hAnsi="Arial" w:cs="Arial"/>
      <w:i/>
      <w:iCs/>
      <w:color w:val="404040" w:themeColor="text1" w:themeTint="BF"/>
      <w:sz w:val="20"/>
    </w:rPr>
  </w:style>
  <w:style w:type="paragraph" w:styleId="ListParagraph">
    <w:name w:val="List Paragraph"/>
    <w:basedOn w:val="Normal"/>
    <w:uiPriority w:val="34"/>
    <w:qFormat/>
    <w:rsid w:val="00B13B80"/>
    <w:pPr>
      <w:spacing w:before="40" w:after="40"/>
      <w:ind w:left="720"/>
      <w:contextualSpacing/>
    </w:pPr>
  </w:style>
  <w:style w:type="character" w:styleId="IntenseEmphasis">
    <w:name w:val="Intense Emphasis"/>
    <w:basedOn w:val="DefaultParagraphFont"/>
    <w:uiPriority w:val="21"/>
    <w:qFormat/>
    <w:rsid w:val="00B13B80"/>
    <w:rPr>
      <w:i/>
      <w:iCs/>
      <w:color w:val="0F4761" w:themeColor="accent1" w:themeShade="BF"/>
    </w:rPr>
  </w:style>
  <w:style w:type="paragraph" w:styleId="IntenseQuote">
    <w:name w:val="Intense Quote"/>
    <w:basedOn w:val="Normal"/>
    <w:next w:val="Normal"/>
    <w:link w:val="IntenseQuoteChar"/>
    <w:uiPriority w:val="30"/>
    <w:qFormat/>
    <w:rsid w:val="00B13B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B80"/>
    <w:rPr>
      <w:rFonts w:ascii="Arial" w:hAnsi="Arial" w:cs="Arial"/>
      <w:i/>
      <w:iCs/>
      <w:color w:val="0F4761" w:themeColor="accent1" w:themeShade="BF"/>
      <w:sz w:val="20"/>
    </w:rPr>
  </w:style>
  <w:style w:type="character" w:styleId="IntenseReference">
    <w:name w:val="Intense Reference"/>
    <w:basedOn w:val="DefaultParagraphFont"/>
    <w:uiPriority w:val="32"/>
    <w:qFormat/>
    <w:rsid w:val="00B13B80"/>
    <w:rPr>
      <w:b/>
      <w:bCs/>
      <w:smallCaps/>
      <w:color w:val="0F4761" w:themeColor="accent1" w:themeShade="BF"/>
      <w:spacing w:val="5"/>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rPr>
      <w:rFonts w:ascii="Arial" w:hAnsi="Arial" w:cs="Arial"/>
      <w:color w:val="333333"/>
      <w:sz w:val="20"/>
    </w:rPr>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rPr>
      <w:rFonts w:ascii="Arial" w:hAnsi="Arial" w:cs="Arial"/>
      <w:color w:val="333333"/>
      <w:sz w:val="20"/>
    </w:rPr>
  </w:style>
  <w:style w:type="paragraph" w:styleId="ListBullet">
    <w:name w:val="List Bullet"/>
    <w:basedOn w:val="Normal"/>
    <w:uiPriority w:val="99"/>
    <w:unhideWhenUsed/>
    <w:rsid w:val="00B13B80"/>
    <w:pPr>
      <w:numPr>
        <w:numId w:val="1"/>
      </w:numPr>
      <w:contextualSpacing/>
    </w:pPr>
  </w:style>
  <w:style w:type="paragraph" w:styleId="ListNumber">
    <w:name w:val="List Number"/>
    <w:basedOn w:val="Normal"/>
    <w:uiPriority w:val="99"/>
    <w:unhideWhenUsed/>
    <w:rsid w:val="00B13B80"/>
    <w:pPr>
      <w:numPr>
        <w:numId w:val="2"/>
      </w:numPr>
      <w:contextualSpacing/>
    </w:pPr>
  </w:style>
  <w:style w:type="table" w:styleId="TableGrid">
    <w:name w:val="Table Grid"/>
    <w:basedOn w:val="TableNormal"/>
    <w:uiPriority w:val="39"/>
    <w:rsid w:val="00D12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D1270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1Light-Accent1">
    <w:name w:val="Grid Table 1 Light Accent 1"/>
    <w:basedOn w:val="TableNormal"/>
    <w:uiPriority w:val="46"/>
    <w:rsid w:val="004D40E9"/>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ListNumber2">
    <w:name w:val="List Number 2"/>
    <w:basedOn w:val="Normal"/>
    <w:uiPriority w:val="99"/>
    <w:unhideWhenUsed/>
    <w:rsid w:val="00B13B80"/>
    <w:pPr>
      <w:numPr>
        <w:numId w:val="49"/>
      </w:numPr>
      <w:tabs>
        <w:tab w:val="clear" w:pos="72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2E4E53D-AE8F-4A8E-A232-919548D4FDA4}">
  <we:reference id="WA200010725" version="1.0.0.1" store="Omex" storeType="OMEX"/>
  <we:alternateReferences>
    <we:reference id="WA200010725" version="1.0.0.1" store="WA200010725" storeType="OMEX"/>
  </we:alternateReferences>
  <we:properties>
    <we:property name="claude.fileId" value="&quot;f480acd2-18dc-4c4a-962f-0794618a204f&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59edcbc5-bd49-4f09-957a-eae9dbafee80">
  <we:reference id="WA200010725" version="1.0.0.1" store="en-us" storeType="omex"/>
  <we:alternateReferences>
    <we:reference id="WA200010725" version="1.0.0.1" store="en-us" storeType="omex"/>
  </we:alternateReferences>
  <we:properties>
    <we:property name="claude.fileId" value="&quot;f480acd2-18dc-4c4a-962f-0794618a204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541369C-08E1-4692-934F-F183B0862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116BF2-5073-439C-B1BD-2BFAC6E8A0A1}">
  <ds:schemaRefs>
    <ds:schemaRef ds:uri="http://schemas.microsoft.com/sharepoint/v3/contenttype/forms"/>
  </ds:schemaRefs>
</ds:datastoreItem>
</file>

<file path=customXml/itemProps3.xml><?xml version="1.0" encoding="utf-8"?>
<ds:datastoreItem xmlns:ds="http://schemas.openxmlformats.org/officeDocument/2006/customXml" ds:itemID="{48E6EC88-67CE-42D1-9DE6-56618D789FC1}">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3088</Words>
  <Characters>17607</Characters>
  <Application>Microsoft Office Word</Application>
  <DocSecurity>0</DocSecurity>
  <Lines>146</Lines>
  <Paragraphs>41</Paragraphs>
  <ScaleCrop>false</ScaleCrop>
  <Company/>
  <LinksUpToDate>false</LinksUpToDate>
  <CharactersWithSpaces>20654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Session1_Retirement_Readiness_Summary</dc:title>
  <dc:subject>Retirement Readiness</dc:subject>
  <dc:creator>University of Pittsburgh Office of Human Resources</dc:creator>
  <cp:keywords/>
  <dc:description/>
  <cp:lastModifiedBy>Zurowski, Laura P</cp:lastModifiedBy>
  <cp:revision>2</cp:revision>
  <cp:lastPrinted>2026-09-24T12:29:00Z</cp:lastPrinted>
  <dcterms:created xsi:type="dcterms:W3CDTF">2026-10-08T20:10:00Z</dcterms:created>
  <dcterms:modified xsi:type="dcterms:W3CDTF">2026-10-08T20:10:00Z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