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372E4" w14:textId="601DDDD0" w:rsidR="00827A38" w:rsidRDefault="00827A38">
      <w:pPr>
        <w:spacing w:before="60" w:after="60" w:line="260" w:lineRule="atLeast"/>
      </w:pPr>
      <w:r w:rsidRPr="0023238A">
        <w:rPr>
          <w:rFonts w:ascii="Arial" w:hAnsi="Arial" w:cs="Arial"/>
          <w:sz w:val="20"/>
          <w:szCs w:val="20"/>
        </w:rPr>
        <w:t>Retirement Readiness Series</w:t>
      </w:r>
    </w:p>
    <w:p w14:paraId="3A3B51D2" w14:textId="4AA7A7DB" w:rsidR="00827A38" w:rsidRDefault="00827A38">
      <w:pPr>
        <w:spacing w:before="60" w:after="60" w:line="270" w:lineRule="atLeast"/>
      </w:pPr>
    </w:p>
    <w:p w14:paraId="10BEB996" w14:textId="12706385" w:rsidR="00827A38" w:rsidRPr="00873B67" w:rsidRDefault="00827A38" w:rsidP="4739FCB9">
      <w:pPr>
        <w:pStyle w:val="Title"/>
        <w:pBdr>
          <w:bottom w:val="single" w:sz="4" w:space="0" w:color="FFB81C"/>
        </w:pBdr>
        <w:rPr>
          <w:rFonts w:ascii="Arial" w:hAnsi="Arial" w:cs="Arial"/>
          <w:b/>
          <w:bCs/>
          <w:color w:val="003594"/>
          <w:sz w:val="36"/>
          <w:szCs w:val="36"/>
        </w:rPr>
      </w:pPr>
      <w:r w:rsidRPr="4739FCB9">
        <w:rPr>
          <w:rFonts w:ascii="Arial" w:hAnsi="Arial" w:cs="Arial"/>
          <w:b/>
          <w:bCs/>
          <w:color w:val="003594"/>
          <w:sz w:val="36"/>
          <w:szCs w:val="36"/>
        </w:rPr>
        <w:t>Retirement Readiness: Life After Retirement</w:t>
      </w:r>
    </w:p>
    <w:p w14:paraId="2CF85EE0" w14:textId="77777777" w:rsidR="00827A38" w:rsidRDefault="00A70B33">
      <w:r>
        <w:pict w14:anchorId="0835F0CC">
          <v:rect id="_x0000_i1025" style="width:0;height:0" o:hralign="center" o:hrstd="t" o:hr="t" fillcolor="#a0a0a0" stroked="f"/>
        </w:pict>
      </w:r>
    </w:p>
    <w:p w14:paraId="4F5C9050" w14:textId="757C99A9" w:rsidR="00827A38" w:rsidRPr="00873B67" w:rsidRDefault="00827A38" w:rsidP="4739FCB9">
      <w:pPr>
        <w:pStyle w:val="Heading1"/>
        <w:pBdr>
          <w:bottom w:val="single" w:sz="4" w:space="0" w:color="FFB81C"/>
        </w:pBdr>
        <w:spacing w:after="120"/>
        <w:rPr>
          <w:rFonts w:ascii="Arial" w:eastAsia="Arial" w:hAnsi="Arial" w:cs="Arial"/>
          <w:b/>
          <w:bCs/>
          <w:color w:val="003594"/>
          <w:sz w:val="28"/>
          <w:szCs w:val="28"/>
        </w:rPr>
      </w:pPr>
      <w:r w:rsidRPr="4739FCB9">
        <w:rPr>
          <w:rFonts w:ascii="Arial" w:eastAsia="Arial" w:hAnsi="Arial" w:cs="Arial"/>
          <w:b/>
          <w:bCs/>
          <w:color w:val="003594"/>
          <w:sz w:val="28"/>
          <w:szCs w:val="28"/>
        </w:rPr>
        <w:t>1. About This Guide</w:t>
      </w:r>
    </w:p>
    <w:p w14:paraId="2D193E35" w14:textId="29680194"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 xml:space="preserve">This guide summarizes Session 10 of the Summer Retirement Readiness Series, a 10-part educational series from the Office of Human Resources, Benefits Department, designed to help University of Pittsburgh employees plan for and confidently transition into retirement. The final session moved beyond the practical mechanics of retiring to a bigger question: what will your life </w:t>
      </w:r>
      <w:proofErr w:type="gramStart"/>
      <w:r w:rsidRPr="4739FCB9">
        <w:rPr>
          <w:rFonts w:ascii="Arial" w:hAnsi="Arial" w:cs="Arial"/>
          <w:color w:val="333333"/>
          <w:sz w:val="20"/>
          <w:szCs w:val="20"/>
        </w:rPr>
        <w:t>actually look</w:t>
      </w:r>
      <w:proofErr w:type="gramEnd"/>
      <w:r w:rsidRPr="4739FCB9">
        <w:rPr>
          <w:rFonts w:ascii="Arial" w:hAnsi="Arial" w:cs="Arial"/>
          <w:color w:val="333333"/>
          <w:sz w:val="20"/>
          <w:szCs w:val="20"/>
        </w:rPr>
        <w:t xml:space="preserve"> like once you retire?</w:t>
      </w:r>
    </w:p>
    <w:p w14:paraId="3C74355F" w14:textId="0874F463"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Use this guide as a quick reference for the ideas, exercises, and resources shared in the session. Whether retirement is one year away or ten, now is a good time to start noticing what you want your weeks to look like.</w:t>
      </w:r>
    </w:p>
    <w:p w14:paraId="5130473E" w14:textId="052CC009" w:rsidR="00827A38" w:rsidRPr="00873B67" w:rsidRDefault="00827A38" w:rsidP="4739FCB9">
      <w:pPr>
        <w:pStyle w:val="Heading1"/>
        <w:pBdr>
          <w:bottom w:val="single" w:sz="4" w:space="0" w:color="FFB81C"/>
        </w:pBdr>
        <w:spacing w:after="120"/>
        <w:rPr>
          <w:rFonts w:ascii="Arial" w:eastAsia="Arial" w:hAnsi="Arial" w:cs="Arial"/>
          <w:b/>
          <w:bCs/>
          <w:color w:val="003594"/>
          <w:sz w:val="28"/>
          <w:szCs w:val="28"/>
        </w:rPr>
      </w:pPr>
      <w:r w:rsidRPr="4739FCB9">
        <w:rPr>
          <w:rFonts w:ascii="Arial" w:eastAsia="Arial" w:hAnsi="Arial" w:cs="Arial"/>
          <w:b/>
          <w:bCs/>
          <w:color w:val="003594"/>
          <w:sz w:val="28"/>
          <w:szCs w:val="28"/>
        </w:rPr>
        <w:t xml:space="preserve">2. Session </w:t>
      </w:r>
      <w:proofErr w:type="gramStart"/>
      <w:r w:rsidRPr="4739FCB9">
        <w:rPr>
          <w:rFonts w:ascii="Arial" w:eastAsia="Arial" w:hAnsi="Arial" w:cs="Arial"/>
          <w:b/>
          <w:bCs/>
          <w:color w:val="003594"/>
          <w:sz w:val="28"/>
          <w:szCs w:val="28"/>
        </w:rPr>
        <w:t>at a Glance</w:t>
      </w:r>
      <w:proofErr w:type="gramEnd"/>
    </w:p>
    <w:p w14:paraId="4429E52C" w14:textId="49B0D4FA"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Date: </w:t>
      </w:r>
      <w:r w:rsidRPr="4739FCB9">
        <w:rPr>
          <w:rFonts w:ascii="Arial" w:hAnsi="Arial" w:cs="Arial"/>
          <w:color w:val="333333"/>
          <w:sz w:val="20"/>
          <w:szCs w:val="20"/>
        </w:rPr>
        <w:t>August 13, 2026, Noon – 1 p.m.</w:t>
      </w:r>
    </w:p>
    <w:p w14:paraId="1649A60C" w14:textId="483D9135"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Topic: </w:t>
      </w:r>
      <w:r w:rsidRPr="4739FCB9">
        <w:rPr>
          <w:rFonts w:ascii="Arial" w:hAnsi="Arial" w:cs="Arial"/>
          <w:color w:val="333333"/>
          <w:sz w:val="20"/>
          <w:szCs w:val="20"/>
        </w:rPr>
        <w:t>Life After Retirement: Lifestyle, Purpose &amp; Planning Ahead</w:t>
      </w:r>
    </w:p>
    <w:p w14:paraId="2273E4C4" w14:textId="7B8E6241"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Guest speaker: </w:t>
      </w:r>
      <w:r w:rsidRPr="4739FCB9">
        <w:rPr>
          <w:rFonts w:ascii="Arial" w:hAnsi="Arial" w:cs="Arial"/>
          <w:color w:val="333333"/>
          <w:sz w:val="20"/>
          <w:szCs w:val="20"/>
        </w:rPr>
        <w:t>Lisa Sharfstein, Director, Osher Lifelong Learning Institute (OLLI) at Pitt</w:t>
      </w:r>
    </w:p>
    <w:p w14:paraId="531BF4D7" w14:textId="08E52A61"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Presenters and moderators: </w:t>
      </w:r>
      <w:r w:rsidRPr="4739FCB9">
        <w:rPr>
          <w:rFonts w:ascii="Arial" w:hAnsi="Arial" w:cs="Arial"/>
          <w:color w:val="333333"/>
          <w:sz w:val="20"/>
          <w:szCs w:val="20"/>
        </w:rPr>
        <w:t>Kate Young (Manager of Benefits, Health &amp; Welfare), Tammy Weaver (Sr. Benefits Analyst, Retiree Benefits &amp; Life Insurance), Lindsey Bandison (Benefits Customer Support Supervisor), Brittany Frund (Sr. Benefits Analyst, Health &amp; Welfare), and Makayla Gelman (Benefits Analyst)</w:t>
      </w:r>
    </w:p>
    <w:p w14:paraId="728CBA70" w14:textId="6C6F1736"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Topics covered: </w:t>
      </w:r>
      <w:r w:rsidRPr="4739FCB9">
        <w:rPr>
          <w:rFonts w:ascii="Arial" w:hAnsi="Arial" w:cs="Arial"/>
          <w:color w:val="333333"/>
          <w:sz w:val="20"/>
          <w:szCs w:val="20"/>
        </w:rPr>
        <w:t xml:space="preserve">OLLI at Pitt; hobbies and personal interests; volunteering and wellbeing; designing a purposeful lifestyle; maintaining social connections; vision-boarding and </w:t>
      </w:r>
      <w:proofErr w:type="gramStart"/>
      <w:r w:rsidRPr="4739FCB9">
        <w:rPr>
          <w:rFonts w:ascii="Arial" w:hAnsi="Arial" w:cs="Arial"/>
          <w:color w:val="333333"/>
          <w:sz w:val="20"/>
          <w:szCs w:val="20"/>
        </w:rPr>
        <w:t>goal-setting</w:t>
      </w:r>
      <w:proofErr w:type="gramEnd"/>
      <w:r w:rsidRPr="4739FCB9">
        <w:rPr>
          <w:rFonts w:ascii="Arial" w:hAnsi="Arial" w:cs="Arial"/>
          <w:color w:val="333333"/>
          <w:sz w:val="20"/>
          <w:szCs w:val="20"/>
        </w:rPr>
        <w:t>; registrant Q&amp;A</w:t>
      </w:r>
    </w:p>
    <w:p w14:paraId="1BD94ED4" w14:textId="13EDA1EB" w:rsidR="00827A38" w:rsidRPr="00873B67" w:rsidRDefault="00827A38" w:rsidP="4739FCB9">
      <w:pPr>
        <w:pStyle w:val="Heading1"/>
        <w:pBdr>
          <w:bottom w:val="single" w:sz="4" w:space="0" w:color="FFB81C"/>
        </w:pBdr>
        <w:spacing w:after="120"/>
        <w:rPr>
          <w:rFonts w:ascii="Arial" w:eastAsia="Arial" w:hAnsi="Arial" w:cs="Arial"/>
          <w:b/>
          <w:bCs/>
          <w:color w:val="003594"/>
          <w:sz w:val="28"/>
          <w:szCs w:val="28"/>
        </w:rPr>
      </w:pPr>
      <w:r w:rsidRPr="4739FCB9">
        <w:rPr>
          <w:rFonts w:ascii="Arial" w:eastAsia="Arial" w:hAnsi="Arial" w:cs="Arial"/>
          <w:b/>
          <w:bCs/>
          <w:color w:val="003594"/>
          <w:sz w:val="28"/>
          <w:szCs w:val="28"/>
        </w:rPr>
        <w:t>3. Learning with OLLI at Pitt</w:t>
      </w:r>
    </w:p>
    <w:p w14:paraId="7AB1E378" w14:textId="0487DD33"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 xml:space="preserve">The Osher Lifelong Learning Institute (OLLI) at Pitt is a membership-based community for adults aged 50 and better. Its goal is to nurture a lifelong passion for learning and foster connection and purposeful aging. Courses are </w:t>
      </w:r>
      <w:proofErr w:type="gramStart"/>
      <w:r w:rsidRPr="4739FCB9">
        <w:rPr>
          <w:rFonts w:ascii="Arial" w:hAnsi="Arial" w:cs="Arial"/>
          <w:color w:val="333333"/>
          <w:sz w:val="20"/>
          <w:szCs w:val="20"/>
        </w:rPr>
        <w:t>no-pressure</w:t>
      </w:r>
      <w:proofErr w:type="gramEnd"/>
      <w:r w:rsidRPr="4739FCB9">
        <w:rPr>
          <w:rFonts w:ascii="Arial" w:hAnsi="Arial" w:cs="Arial"/>
          <w:color w:val="333333"/>
          <w:sz w:val="20"/>
          <w:szCs w:val="20"/>
        </w:rPr>
        <w:t>: learning for the love of learning.</w:t>
      </w:r>
    </w:p>
    <w:p w14:paraId="1570653D" w14:textId="0A164771"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What OLLI Offers</w:t>
      </w:r>
    </w:p>
    <w:p w14:paraId="13E88558" w14:textId="7828AB91"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Courses: </w:t>
      </w:r>
      <w:r w:rsidRPr="4739FCB9">
        <w:rPr>
          <w:rFonts w:ascii="Arial" w:hAnsi="Arial" w:cs="Arial"/>
          <w:color w:val="333333"/>
          <w:sz w:val="20"/>
          <w:szCs w:val="20"/>
        </w:rPr>
        <w:t>Non-credit, non-graded courses offered online, in person, or hybrid</w:t>
      </w:r>
    </w:p>
    <w:p w14:paraId="5A502C93" w14:textId="254B1E82"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Lectures and events: </w:t>
      </w:r>
      <w:r w:rsidRPr="4739FCB9">
        <w:rPr>
          <w:rFonts w:ascii="Arial" w:hAnsi="Arial" w:cs="Arial"/>
          <w:color w:val="333333"/>
          <w:sz w:val="20"/>
          <w:szCs w:val="20"/>
        </w:rPr>
        <w:t>Lectures, events, and tours (for example, film series, museum visits, and nature hikes)</w:t>
      </w:r>
    </w:p>
    <w:p w14:paraId="50CAF8AA" w14:textId="7A4CF257"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University access: </w:t>
      </w:r>
      <w:r w:rsidRPr="4739FCB9">
        <w:rPr>
          <w:rFonts w:ascii="Arial" w:hAnsi="Arial" w:cs="Arial"/>
          <w:color w:val="333333"/>
          <w:sz w:val="20"/>
          <w:szCs w:val="20"/>
        </w:rPr>
        <w:t>The ability to audit University courses and access Pitt resources</w:t>
      </w:r>
    </w:p>
    <w:p w14:paraId="15B275DD" w14:textId="0FF4BF61"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Social connection: </w:t>
      </w:r>
      <w:r w:rsidRPr="4739FCB9">
        <w:rPr>
          <w:rFonts w:ascii="Arial" w:hAnsi="Arial" w:cs="Arial"/>
          <w:color w:val="333333"/>
          <w:sz w:val="20"/>
          <w:szCs w:val="20"/>
        </w:rPr>
        <w:t>Coffee hours, Bring Your Own Lunch gatherings, special interest groups (book club, crafting, South Hills), and volunteer committees</w:t>
      </w:r>
    </w:p>
    <w:p w14:paraId="7A606C88" w14:textId="49F3E207"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Travel: </w:t>
      </w:r>
      <w:r w:rsidRPr="4739FCB9">
        <w:rPr>
          <w:rFonts w:ascii="Arial" w:hAnsi="Arial" w:cs="Arial"/>
          <w:color w:val="333333"/>
          <w:sz w:val="20"/>
          <w:szCs w:val="20"/>
        </w:rPr>
        <w:t>National and international group trips, such as upcoming journeys to California, Portugal, France, and South America, with adult study abroad in Florence and a Budapest–Vienna–Prague trip in the works</w:t>
      </w:r>
    </w:p>
    <w:p w14:paraId="6030A806" w14:textId="69927196"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How Courses Work</w:t>
      </w:r>
    </w:p>
    <w:p w14:paraId="45AAC984" w14:textId="12F25402"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Courses run in three terms (Fall, Spring, and Summer), and each term is divided into two five-week sessions. Classes meet once a week for 1.5 to 2 hours. The Fall 2026 lineup includes gardening, four languages (Spanish, French, Italian, and Mandarin), improv comedy, yoga, printmaking, history, literature, the Supreme Court, and thinking critically about AI.</w:t>
      </w:r>
    </w:p>
    <w:p w14:paraId="10D28F9E" w14:textId="41CF4ABF"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lastRenderedPageBreak/>
        <w:t>Membership and Tuition</w:t>
      </w:r>
    </w:p>
    <w:p w14:paraId="78DC4FC0" w14:textId="3780D150"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OLLI membership and tuition options for the 2026–2027 academic year:</w:t>
      </w:r>
    </w:p>
    <w:tbl>
      <w:tblPr>
        <w:tblStyle w:val="TableGrid"/>
        <w:tblW w:w="5000" w:type="pct"/>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598"/>
        <w:gridCol w:w="900"/>
        <w:gridCol w:w="6572"/>
      </w:tblGrid>
      <w:tr w:rsidR="00827A38" w14:paraId="5FAC0D2B" w14:textId="77777777" w:rsidTr="00873B67">
        <w:trPr>
          <w:tblHeader/>
        </w:trPr>
        <w:tc>
          <w:tcPr>
            <w:tcW w:w="2600" w:type="dxa"/>
            <w:shd w:val="clear" w:color="003594" w:fill="003594"/>
            <w:tcMar>
              <w:top w:w="60" w:type="dxa"/>
              <w:left w:w="120" w:type="dxa"/>
              <w:bottom w:w="60" w:type="dxa"/>
              <w:right w:w="120" w:type="dxa"/>
            </w:tcMar>
            <w:vAlign w:val="center"/>
          </w:tcPr>
          <w:p w14:paraId="36EC7129" w14:textId="77777777" w:rsidR="00827A38" w:rsidRPr="00873B67" w:rsidRDefault="00827A38" w:rsidP="00873B67">
            <w:pPr>
              <w:spacing w:before="60" w:after="60" w:line="270" w:lineRule="atLeast"/>
              <w:rPr>
                <w:rFonts w:ascii="Arial" w:hAnsi="Arial" w:cs="Arial"/>
                <w:b/>
                <w:color w:val="FFFFFF"/>
                <w:sz w:val="19"/>
              </w:rPr>
            </w:pPr>
            <w:r w:rsidRPr="00873B67">
              <w:rPr>
                <w:rFonts w:ascii="Arial" w:hAnsi="Arial" w:cs="Arial"/>
                <w:b/>
                <w:color w:val="FFFFFF"/>
                <w:sz w:val="19"/>
              </w:rPr>
              <w:t>Option</w:t>
            </w:r>
          </w:p>
        </w:tc>
        <w:tc>
          <w:tcPr>
            <w:tcW w:w="900" w:type="dxa"/>
            <w:shd w:val="clear" w:color="003594" w:fill="003594"/>
            <w:tcMar>
              <w:top w:w="60" w:type="dxa"/>
              <w:left w:w="120" w:type="dxa"/>
              <w:bottom w:w="60" w:type="dxa"/>
              <w:right w:w="120" w:type="dxa"/>
            </w:tcMar>
            <w:vAlign w:val="center"/>
          </w:tcPr>
          <w:p w14:paraId="27BE07D7" w14:textId="77777777" w:rsidR="00827A38" w:rsidRPr="00873B67" w:rsidRDefault="00827A38" w:rsidP="00873B67">
            <w:pPr>
              <w:spacing w:before="60" w:after="60" w:line="270" w:lineRule="atLeast"/>
              <w:rPr>
                <w:rFonts w:ascii="Arial" w:hAnsi="Arial" w:cs="Arial"/>
                <w:b/>
                <w:color w:val="FFFFFF"/>
                <w:sz w:val="19"/>
              </w:rPr>
            </w:pPr>
            <w:r w:rsidRPr="00873B67">
              <w:rPr>
                <w:rFonts w:ascii="Arial" w:hAnsi="Arial" w:cs="Arial"/>
                <w:b/>
                <w:color w:val="FFFFFF"/>
                <w:sz w:val="19"/>
              </w:rPr>
              <w:t>Cost</w:t>
            </w:r>
          </w:p>
        </w:tc>
        <w:tc>
          <w:tcPr>
            <w:tcW w:w="6580" w:type="dxa"/>
            <w:shd w:val="clear" w:color="003594" w:fill="003594"/>
            <w:tcMar>
              <w:top w:w="60" w:type="dxa"/>
              <w:left w:w="120" w:type="dxa"/>
              <w:bottom w:w="60" w:type="dxa"/>
              <w:right w:w="120" w:type="dxa"/>
            </w:tcMar>
            <w:vAlign w:val="center"/>
          </w:tcPr>
          <w:p w14:paraId="403F83B2" w14:textId="77777777" w:rsidR="00827A38" w:rsidRPr="00873B67" w:rsidRDefault="00827A38" w:rsidP="00873B67">
            <w:pPr>
              <w:spacing w:before="60" w:after="60" w:line="270" w:lineRule="atLeast"/>
              <w:rPr>
                <w:rFonts w:ascii="Arial" w:hAnsi="Arial" w:cs="Arial"/>
                <w:b/>
                <w:color w:val="FFFFFF"/>
                <w:sz w:val="19"/>
              </w:rPr>
            </w:pPr>
            <w:r w:rsidRPr="00873B67">
              <w:rPr>
                <w:rFonts w:ascii="Arial" w:hAnsi="Arial" w:cs="Arial"/>
                <w:b/>
                <w:color w:val="FFFFFF"/>
                <w:sz w:val="19"/>
              </w:rPr>
              <w:t>What's Included</w:t>
            </w:r>
          </w:p>
        </w:tc>
      </w:tr>
      <w:tr w:rsidR="00827A38" w14:paraId="5F5FE592" w14:textId="77777777" w:rsidTr="00873B67">
        <w:tc>
          <w:tcPr>
            <w:tcW w:w="2600" w:type="dxa"/>
            <w:shd w:val="clear" w:color="D6E4F7" w:fill="D6E4F7"/>
            <w:tcMar>
              <w:top w:w="60" w:type="dxa"/>
              <w:left w:w="120" w:type="dxa"/>
              <w:bottom w:w="60" w:type="dxa"/>
              <w:right w:w="120" w:type="dxa"/>
            </w:tcMar>
          </w:tcPr>
          <w:p w14:paraId="66820BBA"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Annual Membership</w:t>
            </w:r>
          </w:p>
        </w:tc>
        <w:tc>
          <w:tcPr>
            <w:tcW w:w="900" w:type="dxa"/>
            <w:shd w:val="clear" w:color="FFFFFF" w:fill="FFFFFF"/>
            <w:tcMar>
              <w:top w:w="60" w:type="dxa"/>
              <w:left w:w="120" w:type="dxa"/>
              <w:bottom w:w="60" w:type="dxa"/>
              <w:right w:w="120" w:type="dxa"/>
            </w:tcMar>
          </w:tcPr>
          <w:p w14:paraId="2608C7FF"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$50</w:t>
            </w:r>
          </w:p>
        </w:tc>
        <w:tc>
          <w:tcPr>
            <w:tcW w:w="6580" w:type="dxa"/>
            <w:shd w:val="clear" w:color="FFFFFF" w:fill="FFFFFF"/>
            <w:tcMar>
              <w:top w:w="60" w:type="dxa"/>
              <w:left w:w="120" w:type="dxa"/>
              <w:bottom w:w="60" w:type="dxa"/>
              <w:right w:w="120" w:type="dxa"/>
            </w:tcMar>
          </w:tcPr>
          <w:p w14:paraId="39ED4AEB"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Good for the academic year (Fall 2026, Spring 2027, Summer 2027)</w:t>
            </w:r>
          </w:p>
        </w:tc>
      </w:tr>
      <w:tr w:rsidR="00827A38" w14:paraId="73EE5A7F" w14:textId="77777777" w:rsidTr="00873B67">
        <w:tc>
          <w:tcPr>
            <w:tcW w:w="2600" w:type="dxa"/>
            <w:shd w:val="clear" w:color="D6E4F7" w:fill="D6E4F7"/>
            <w:tcMar>
              <w:top w:w="60" w:type="dxa"/>
              <w:left w:w="120" w:type="dxa"/>
              <w:bottom w:w="60" w:type="dxa"/>
              <w:right w:w="120" w:type="dxa"/>
            </w:tcMar>
          </w:tcPr>
          <w:p w14:paraId="7CF707D3"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Introductory Membership</w:t>
            </w:r>
          </w:p>
        </w:tc>
        <w:tc>
          <w:tcPr>
            <w:tcW w:w="900" w:type="dxa"/>
            <w:shd w:val="clear" w:color="FFFFFF" w:fill="FFFFFF"/>
            <w:tcMar>
              <w:top w:w="60" w:type="dxa"/>
              <w:left w:w="120" w:type="dxa"/>
              <w:bottom w:w="60" w:type="dxa"/>
              <w:right w:w="120" w:type="dxa"/>
            </w:tcMar>
          </w:tcPr>
          <w:p w14:paraId="2BF4182C"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$50</w:t>
            </w:r>
          </w:p>
        </w:tc>
        <w:tc>
          <w:tcPr>
            <w:tcW w:w="6580" w:type="dxa"/>
            <w:shd w:val="clear" w:color="FFFFFF" w:fill="FFFFFF"/>
            <w:tcMar>
              <w:top w:w="60" w:type="dxa"/>
              <w:left w:w="120" w:type="dxa"/>
              <w:bottom w:w="60" w:type="dxa"/>
              <w:right w:w="120" w:type="dxa"/>
            </w:tcMar>
          </w:tcPr>
          <w:p w14:paraId="4E5026D3"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Good for one term; 2 OLLI classes, one audit, all lectures and events</w:t>
            </w:r>
          </w:p>
        </w:tc>
      </w:tr>
      <w:tr w:rsidR="00827A38" w14:paraId="5AFF96FA" w14:textId="77777777" w:rsidTr="00873B67">
        <w:tc>
          <w:tcPr>
            <w:tcW w:w="2600" w:type="dxa"/>
            <w:shd w:val="clear" w:color="D6E4F7" w:fill="D6E4F7"/>
            <w:tcMar>
              <w:top w:w="60" w:type="dxa"/>
              <w:left w:w="120" w:type="dxa"/>
              <w:bottom w:w="60" w:type="dxa"/>
              <w:right w:w="120" w:type="dxa"/>
            </w:tcMar>
          </w:tcPr>
          <w:p w14:paraId="1A129EEB"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Term Tuition</w:t>
            </w:r>
          </w:p>
        </w:tc>
        <w:tc>
          <w:tcPr>
            <w:tcW w:w="900" w:type="dxa"/>
            <w:shd w:val="clear" w:color="FFFFFF" w:fill="FFFFFF"/>
            <w:tcMar>
              <w:top w:w="60" w:type="dxa"/>
              <w:left w:w="120" w:type="dxa"/>
              <w:bottom w:w="60" w:type="dxa"/>
              <w:right w:w="120" w:type="dxa"/>
            </w:tcMar>
          </w:tcPr>
          <w:p w14:paraId="57675CAF"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$150</w:t>
            </w:r>
          </w:p>
        </w:tc>
        <w:tc>
          <w:tcPr>
            <w:tcW w:w="6580" w:type="dxa"/>
            <w:shd w:val="clear" w:color="FFFFFF" w:fill="FFFFFF"/>
            <w:tcMar>
              <w:top w:w="60" w:type="dxa"/>
              <w:left w:w="120" w:type="dxa"/>
              <w:bottom w:w="60" w:type="dxa"/>
              <w:right w:w="120" w:type="dxa"/>
            </w:tcMar>
          </w:tcPr>
          <w:p w14:paraId="335B9212"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Good for one term; up to 8 OLLI classes, one audit, all lectures and events</w:t>
            </w:r>
          </w:p>
        </w:tc>
      </w:tr>
      <w:tr w:rsidR="00827A38" w14:paraId="0A25D5D8" w14:textId="77777777" w:rsidTr="00873B67">
        <w:tc>
          <w:tcPr>
            <w:tcW w:w="2600" w:type="dxa"/>
            <w:shd w:val="clear" w:color="D6E4F7" w:fill="D6E4F7"/>
            <w:tcMar>
              <w:top w:w="60" w:type="dxa"/>
              <w:left w:w="120" w:type="dxa"/>
              <w:bottom w:w="60" w:type="dxa"/>
              <w:right w:w="120" w:type="dxa"/>
            </w:tcMar>
          </w:tcPr>
          <w:p w14:paraId="1A4FD7E1"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Standard Annual Tuition</w:t>
            </w:r>
          </w:p>
        </w:tc>
        <w:tc>
          <w:tcPr>
            <w:tcW w:w="900" w:type="dxa"/>
            <w:shd w:val="clear" w:color="FFFFFF" w:fill="FFFFFF"/>
            <w:tcMar>
              <w:top w:w="60" w:type="dxa"/>
              <w:left w:w="120" w:type="dxa"/>
              <w:bottom w:w="60" w:type="dxa"/>
              <w:right w:w="120" w:type="dxa"/>
            </w:tcMar>
          </w:tcPr>
          <w:p w14:paraId="04198B2A"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$250</w:t>
            </w:r>
          </w:p>
        </w:tc>
        <w:tc>
          <w:tcPr>
            <w:tcW w:w="6580" w:type="dxa"/>
            <w:shd w:val="clear" w:color="FFFFFF" w:fill="FFFFFF"/>
            <w:tcMar>
              <w:top w:w="60" w:type="dxa"/>
              <w:left w:w="120" w:type="dxa"/>
              <w:bottom w:w="60" w:type="dxa"/>
              <w:right w:w="120" w:type="dxa"/>
            </w:tcMar>
          </w:tcPr>
          <w:p w14:paraId="62FC751D"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Academic year; up to 8 OLLI classes, one audit, all lectures and events</w:t>
            </w:r>
          </w:p>
        </w:tc>
      </w:tr>
      <w:tr w:rsidR="00827A38" w14:paraId="194A5DD0" w14:textId="77777777" w:rsidTr="00873B67">
        <w:tc>
          <w:tcPr>
            <w:tcW w:w="2600" w:type="dxa"/>
            <w:shd w:val="clear" w:color="D6E4F7" w:fill="D6E4F7"/>
            <w:tcMar>
              <w:top w:w="60" w:type="dxa"/>
              <w:left w:w="120" w:type="dxa"/>
              <w:bottom w:w="60" w:type="dxa"/>
              <w:right w:w="120" w:type="dxa"/>
            </w:tcMar>
          </w:tcPr>
          <w:p w14:paraId="6889800E"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Expanded Annual Tuition</w:t>
            </w:r>
          </w:p>
        </w:tc>
        <w:tc>
          <w:tcPr>
            <w:tcW w:w="900" w:type="dxa"/>
            <w:shd w:val="clear" w:color="FFFFFF" w:fill="FFFFFF"/>
            <w:tcMar>
              <w:top w:w="60" w:type="dxa"/>
              <w:left w:w="120" w:type="dxa"/>
              <w:bottom w:w="60" w:type="dxa"/>
              <w:right w:w="120" w:type="dxa"/>
            </w:tcMar>
          </w:tcPr>
          <w:p w14:paraId="7E0288F3"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$300</w:t>
            </w:r>
          </w:p>
        </w:tc>
        <w:tc>
          <w:tcPr>
            <w:tcW w:w="6580" w:type="dxa"/>
            <w:shd w:val="clear" w:color="FFFFFF" w:fill="FFFFFF"/>
            <w:tcMar>
              <w:top w:w="60" w:type="dxa"/>
              <w:left w:w="120" w:type="dxa"/>
              <w:bottom w:w="60" w:type="dxa"/>
              <w:right w:w="120" w:type="dxa"/>
            </w:tcMar>
          </w:tcPr>
          <w:p w14:paraId="424CD9BF"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Academic year; unlimited OLLI classes, two audits, all lectures and events</w:t>
            </w:r>
          </w:p>
        </w:tc>
      </w:tr>
    </w:tbl>
    <w:p w14:paraId="54FDBDD7" w14:textId="553414D9" w:rsidR="00827A38" w:rsidRPr="00873B67" w:rsidRDefault="00827A38" w:rsidP="4739FCB9">
      <w:pPr>
        <w:spacing w:before="160" w:after="60" w:line="270" w:lineRule="atLeast"/>
        <w:rPr>
          <w:rFonts w:ascii="Arial" w:hAnsi="Arial" w:cs="Arial"/>
          <w:color w:val="333333"/>
          <w:sz w:val="20"/>
          <w:szCs w:val="20"/>
        </w:rPr>
      </w:pPr>
      <w:r w:rsidRPr="4739FCB9">
        <w:rPr>
          <w:rFonts w:ascii="Arial" w:hAnsi="Arial" w:cs="Arial"/>
          <w:color w:val="333333"/>
          <w:sz w:val="20"/>
          <w:szCs w:val="20"/>
        </w:rPr>
        <w:t>Learn more at olli.pitt.edu.</w:t>
      </w:r>
    </w:p>
    <w:p w14:paraId="2568D3AC" w14:textId="15EA710D" w:rsidR="00827A38" w:rsidRPr="00873B67" w:rsidRDefault="00827A38" w:rsidP="4739FCB9">
      <w:pPr>
        <w:pStyle w:val="Heading1"/>
        <w:pBdr>
          <w:bottom w:val="single" w:sz="4" w:space="0" w:color="FFB81C"/>
        </w:pBdr>
        <w:spacing w:after="120"/>
        <w:rPr>
          <w:rFonts w:ascii="Arial" w:eastAsia="Arial" w:hAnsi="Arial" w:cs="Arial"/>
          <w:b/>
          <w:bCs/>
          <w:color w:val="003594"/>
          <w:sz w:val="28"/>
          <w:szCs w:val="28"/>
        </w:rPr>
      </w:pPr>
      <w:r w:rsidRPr="4739FCB9">
        <w:rPr>
          <w:rFonts w:ascii="Arial" w:eastAsia="Arial" w:hAnsi="Arial" w:cs="Arial"/>
          <w:b/>
          <w:bCs/>
          <w:color w:val="003594"/>
          <w:sz w:val="28"/>
          <w:szCs w:val="28"/>
        </w:rPr>
        <w:t>4. Rediscovering Hobbies &amp; Personal Interests</w:t>
      </w:r>
    </w:p>
    <w:p w14:paraId="418D3CE9" w14:textId="753B5035"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Retirement is a chance to reclaim the passions and pursuits that full-time work may have pushed aside. You don't need a grand plan, just a few activities that fit into your ordinary week.</w:t>
      </w:r>
    </w:p>
    <w:p w14:paraId="62667ECC" w14:textId="64F78FB9"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Travel, Encore Careers &amp; Lifelong Learning</w:t>
      </w:r>
    </w:p>
    <w:p w14:paraId="111B553E" w14:textId="23097296"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Travel: </w:t>
      </w:r>
      <w:r w:rsidRPr="4739FCB9">
        <w:rPr>
          <w:rFonts w:ascii="Arial" w:hAnsi="Arial" w:cs="Arial"/>
          <w:color w:val="333333"/>
          <w:sz w:val="20"/>
          <w:szCs w:val="20"/>
        </w:rPr>
        <w:t>Go at your own pace. Off-season and mid-week travel is easier, and group tours and 50+ operators can handle the planning.</w:t>
      </w:r>
    </w:p>
    <w:p w14:paraId="60A1EC09" w14:textId="37A3619B"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Encore careers: </w:t>
      </w:r>
      <w:r w:rsidRPr="4739FCB9">
        <w:rPr>
          <w:rFonts w:ascii="Arial" w:hAnsi="Arial" w:cs="Arial"/>
          <w:color w:val="333333"/>
          <w:sz w:val="20"/>
          <w:szCs w:val="20"/>
        </w:rPr>
        <w:t>Consulting, mentoring, part-time, seasonal, or freelance work keeps structure and social connection alive.</w:t>
      </w:r>
    </w:p>
    <w:p w14:paraId="3EE8FE2B" w14:textId="576EB049"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Education: </w:t>
      </w:r>
      <w:r w:rsidRPr="4739FCB9">
        <w:rPr>
          <w:rFonts w:ascii="Arial" w:hAnsi="Arial" w:cs="Arial"/>
          <w:color w:val="333333"/>
          <w:sz w:val="20"/>
          <w:szCs w:val="20"/>
        </w:rPr>
        <w:t>Classes keep the mind sharp and open new interests. Official Pitt retirees can continue using education benefits at Pitt.</w:t>
      </w:r>
    </w:p>
    <w:p w14:paraId="0B6B9CDA" w14:textId="7147507B"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A new language: </w:t>
      </w:r>
      <w:r w:rsidRPr="4739FCB9">
        <w:rPr>
          <w:rFonts w:ascii="Arial" w:hAnsi="Arial" w:cs="Arial"/>
          <w:color w:val="333333"/>
          <w:sz w:val="20"/>
          <w:szCs w:val="20"/>
        </w:rPr>
        <w:t>Learning a language sharpens cognitive skills and opens new travel and connection opportunities.</w:t>
      </w:r>
    </w:p>
    <w:p w14:paraId="3A6D19E2" w14:textId="566FEEB9"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Creative &amp; Reflective Pursuits</w:t>
      </w:r>
    </w:p>
    <w:p w14:paraId="0686BFE8" w14:textId="20848DF7"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Reading and book clubs, writing (a blog, memoir, or fiction), crafts such as knitting, woodworking, and painting, photography, playing an instrument, journaling, movies, and cooking classes. Pitt resources include the Library System, the Writing Program, the Craft Center, and campus film screenings listed on the Pitt Calendar.</w:t>
      </w:r>
    </w:p>
    <w:p w14:paraId="7A7CE1B9" w14:textId="2E54E349"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Staying Active, Social &amp; Connected</w:t>
      </w:r>
    </w:p>
    <w:p w14:paraId="23EC6A20" w14:textId="132F5AEF"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Exercise: </w:t>
      </w:r>
      <w:r w:rsidRPr="4739FCB9">
        <w:rPr>
          <w:rFonts w:ascii="Arial" w:hAnsi="Arial" w:cs="Arial"/>
          <w:color w:val="333333"/>
          <w:sz w:val="20"/>
          <w:szCs w:val="20"/>
        </w:rPr>
        <w:t xml:space="preserve">Yoga, Pilates, and water aerobics through </w:t>
      </w:r>
      <w:proofErr w:type="spellStart"/>
      <w:r w:rsidRPr="4739FCB9">
        <w:rPr>
          <w:rFonts w:ascii="Arial" w:hAnsi="Arial" w:cs="Arial"/>
          <w:color w:val="333333"/>
          <w:sz w:val="20"/>
          <w:szCs w:val="20"/>
        </w:rPr>
        <w:t>SilverSneakers</w:t>
      </w:r>
      <w:proofErr w:type="spellEnd"/>
      <w:r w:rsidRPr="4739FCB9">
        <w:rPr>
          <w:rFonts w:ascii="Arial" w:hAnsi="Arial" w:cs="Arial"/>
          <w:color w:val="333333"/>
          <w:sz w:val="20"/>
          <w:szCs w:val="20"/>
        </w:rPr>
        <w:t xml:space="preserve"> or Pitt Campus Recreation. Retirees living in 15213 or 15219 may use the Pitt Community Leisure Learn (CLL) Guest Pass Program.</w:t>
      </w:r>
    </w:p>
    <w:p w14:paraId="3FB0011A" w14:textId="79908CBE"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Sports and leagues: </w:t>
      </w:r>
      <w:r w:rsidRPr="4739FCB9">
        <w:rPr>
          <w:rFonts w:ascii="Arial" w:hAnsi="Arial" w:cs="Arial"/>
          <w:color w:val="333333"/>
          <w:sz w:val="20"/>
          <w:szCs w:val="20"/>
        </w:rPr>
        <w:t>Senior tennis, golf, and pickleball leagues, plus bowling, cards, and games.</w:t>
      </w:r>
    </w:p>
    <w:p w14:paraId="5E27141E" w14:textId="0103CE1A"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Gardening: </w:t>
      </w:r>
      <w:r w:rsidRPr="4739FCB9">
        <w:rPr>
          <w:rFonts w:ascii="Arial" w:hAnsi="Arial" w:cs="Arial"/>
          <w:color w:val="333333"/>
          <w:sz w:val="20"/>
          <w:szCs w:val="20"/>
        </w:rPr>
        <w:t>Community gardens connect you with nature and neighbors.</w:t>
      </w:r>
    </w:p>
    <w:p w14:paraId="1C3B9C4A" w14:textId="2A1BAE75"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Pets: </w:t>
      </w:r>
      <w:r w:rsidRPr="4739FCB9">
        <w:rPr>
          <w:rFonts w:ascii="Arial" w:hAnsi="Arial" w:cs="Arial"/>
          <w:color w:val="333333"/>
          <w:sz w:val="20"/>
          <w:szCs w:val="20"/>
        </w:rPr>
        <w:t>Pets offer companionship and daily purpose.</w:t>
      </w:r>
    </w:p>
    <w:p w14:paraId="35E7911C" w14:textId="55E82C8E"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Mentorship: </w:t>
      </w:r>
      <w:r w:rsidRPr="4739FCB9">
        <w:rPr>
          <w:rFonts w:ascii="Arial" w:hAnsi="Arial" w:cs="Arial"/>
          <w:color w:val="333333"/>
          <w:sz w:val="20"/>
          <w:szCs w:val="20"/>
        </w:rPr>
        <w:t>Share your expertise through SCORE or Pitt's mentoring programs.</w:t>
      </w:r>
    </w:p>
    <w:p w14:paraId="0FB6AAED" w14:textId="6D38314B"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Downsizing or moving: </w:t>
      </w:r>
      <w:proofErr w:type="gramStart"/>
      <w:r w:rsidRPr="4739FCB9">
        <w:rPr>
          <w:rFonts w:ascii="Arial" w:hAnsi="Arial" w:cs="Arial"/>
          <w:color w:val="333333"/>
          <w:sz w:val="20"/>
          <w:szCs w:val="20"/>
        </w:rPr>
        <w:t>Right-sizing</w:t>
      </w:r>
      <w:proofErr w:type="gramEnd"/>
      <w:r w:rsidRPr="4739FCB9">
        <w:rPr>
          <w:rFonts w:ascii="Arial" w:hAnsi="Arial" w:cs="Arial"/>
          <w:color w:val="333333"/>
          <w:sz w:val="20"/>
          <w:szCs w:val="20"/>
        </w:rPr>
        <w:t xml:space="preserve"> your home can free up time, money, and energy for what's next.</w:t>
      </w:r>
    </w:p>
    <w:p w14:paraId="6DC81213" w14:textId="6DF5F30A" w:rsidR="00827A38" w:rsidRPr="00873B67" w:rsidRDefault="00827A38" w:rsidP="4739FCB9">
      <w:pPr>
        <w:pStyle w:val="Heading1"/>
        <w:pBdr>
          <w:bottom w:val="single" w:sz="4" w:space="0" w:color="FFB81C"/>
        </w:pBdr>
        <w:spacing w:after="120"/>
        <w:rPr>
          <w:rFonts w:ascii="Arial" w:eastAsia="Arial" w:hAnsi="Arial" w:cs="Arial"/>
          <w:b/>
          <w:bCs/>
          <w:color w:val="003594"/>
          <w:sz w:val="28"/>
          <w:szCs w:val="28"/>
        </w:rPr>
      </w:pPr>
      <w:r w:rsidRPr="4739FCB9">
        <w:rPr>
          <w:rFonts w:ascii="Arial" w:eastAsia="Arial" w:hAnsi="Arial" w:cs="Arial"/>
          <w:b/>
          <w:bCs/>
          <w:color w:val="003594"/>
          <w:sz w:val="28"/>
          <w:szCs w:val="28"/>
        </w:rPr>
        <w:lastRenderedPageBreak/>
        <w:t>5. Volunteering &amp; Wellbeing</w:t>
      </w:r>
    </w:p>
    <w:p w14:paraId="2F6A43C9" w14:textId="372B8C95"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Research on volunteering in retirement is consistent: giving back supports both mental and physical health. Even a few hours a month of consistent, meaningful volunteer work can make a measurable difference in wellbeing.</w:t>
      </w:r>
    </w:p>
    <w:p w14:paraId="1AB74A9E" w14:textId="4E6B2984"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Why Giving Back Is Good for You</w:t>
      </w:r>
    </w:p>
    <w:p w14:paraId="04B645A7" w14:textId="69513697"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Physical health: </w:t>
      </w:r>
      <w:r w:rsidRPr="4739FCB9">
        <w:rPr>
          <w:rFonts w:ascii="Arial" w:hAnsi="Arial" w:cs="Arial"/>
          <w:color w:val="333333"/>
          <w:sz w:val="20"/>
          <w:szCs w:val="20"/>
        </w:rPr>
        <w:t>Regular volunteering is linked to lower blood pressure and greater longevity.</w:t>
      </w:r>
    </w:p>
    <w:p w14:paraId="5F9AB843" w14:textId="5CBE7CD2"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Mental wellbeing: </w:t>
      </w:r>
      <w:r w:rsidRPr="4739FCB9">
        <w:rPr>
          <w:rFonts w:ascii="Arial" w:hAnsi="Arial" w:cs="Arial"/>
          <w:color w:val="333333"/>
          <w:sz w:val="20"/>
          <w:szCs w:val="20"/>
        </w:rPr>
        <w:t>Volunteers report lower rates of depression and higher life satisfaction.</w:t>
      </w:r>
    </w:p>
    <w:p w14:paraId="4D9BBCB4" w14:textId="282A4915"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Social connection: </w:t>
      </w:r>
      <w:r w:rsidRPr="4739FCB9">
        <w:rPr>
          <w:rFonts w:ascii="Arial" w:hAnsi="Arial" w:cs="Arial"/>
          <w:color w:val="333333"/>
          <w:sz w:val="20"/>
          <w:szCs w:val="20"/>
        </w:rPr>
        <w:t>New relationships help replace workplace social networks.</w:t>
      </w:r>
    </w:p>
    <w:p w14:paraId="6AA3217A" w14:textId="72521024"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Sense of purpose: </w:t>
      </w:r>
      <w:r w:rsidRPr="4739FCB9">
        <w:rPr>
          <w:rFonts w:ascii="Arial" w:hAnsi="Arial" w:cs="Arial"/>
          <w:color w:val="333333"/>
          <w:sz w:val="20"/>
          <w:szCs w:val="20"/>
        </w:rPr>
        <w:t>Structured, meaningful activity replaces the routine a career once provided.</w:t>
      </w:r>
    </w:p>
    <w:p w14:paraId="0F48283B" w14:textId="1BC0613B"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How to Get Started</w:t>
      </w:r>
    </w:p>
    <w:p w14:paraId="5E3C09EB" w14:textId="3F641781"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Use a matching site: </w:t>
      </w:r>
      <w:r w:rsidRPr="4739FCB9">
        <w:rPr>
          <w:rFonts w:ascii="Arial" w:hAnsi="Arial" w:cs="Arial"/>
          <w:color w:val="333333"/>
          <w:sz w:val="20"/>
          <w:szCs w:val="20"/>
        </w:rPr>
        <w:t>Search by cause, skill, schedule, and ZIP code at volunteermatch.org, idealist.org, or createthegood.org.</w:t>
      </w:r>
    </w:p>
    <w:p w14:paraId="405555D6" w14:textId="0582DC9A"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Look to local anchors: </w:t>
      </w:r>
      <w:r w:rsidRPr="4739FCB9">
        <w:rPr>
          <w:rFonts w:ascii="Arial" w:hAnsi="Arial" w:cs="Arial"/>
          <w:color w:val="333333"/>
          <w:sz w:val="20"/>
          <w:szCs w:val="20"/>
        </w:rPr>
        <w:t>Libraries, food banks, hospitals, schools, parks, animal shelters, and faith communities need steady help. Dial 211 or visit 211.org for a local referral.</w:t>
      </w:r>
    </w:p>
    <w:p w14:paraId="24CAC7F0" w14:textId="08918D31"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Put your experience to work: </w:t>
      </w:r>
      <w:r w:rsidRPr="4739FCB9">
        <w:rPr>
          <w:rFonts w:ascii="Arial" w:hAnsi="Arial" w:cs="Arial"/>
          <w:color w:val="333333"/>
          <w:sz w:val="20"/>
          <w:szCs w:val="20"/>
        </w:rPr>
        <w:t>Mentor, tutor, advise a small business, or serve on a nonprofit board through score.org, aarp.org/experience-corps, or americorps.gov/seniors.</w:t>
      </w:r>
    </w:p>
    <w:p w14:paraId="126509D2" w14:textId="53865F7E" w:rsidR="00827A38" w:rsidRPr="00873B67" w:rsidRDefault="00827A38" w:rsidP="4739FCB9">
      <w:pPr>
        <w:spacing w:before="60" w:after="60" w:line="270" w:lineRule="atLeast"/>
        <w:rPr>
          <w:rFonts w:ascii="Arial" w:hAnsi="Arial" w:cs="Arial"/>
          <w:color w:val="555555"/>
          <w:sz w:val="18"/>
          <w:szCs w:val="18"/>
        </w:rPr>
      </w:pPr>
      <w:r w:rsidRPr="4739FCB9">
        <w:rPr>
          <w:rFonts w:ascii="Arial" w:hAnsi="Arial" w:cs="Arial"/>
          <w:color w:val="555555"/>
          <w:sz w:val="18"/>
          <w:szCs w:val="18"/>
        </w:rPr>
        <w:t>Tip: Start small, match your skills (clinical, financial, and teaching backgrounds are in high demand), and try short-term or seasonal roles before you commit.</w:t>
      </w:r>
    </w:p>
    <w:p w14:paraId="493689A4" w14:textId="29993C8E" w:rsidR="00827A38" w:rsidRPr="00873B67" w:rsidRDefault="00827A38" w:rsidP="4739FCB9">
      <w:pPr>
        <w:pStyle w:val="Heading1"/>
        <w:pBdr>
          <w:bottom w:val="single" w:sz="4" w:space="0" w:color="FFB81C"/>
        </w:pBdr>
        <w:spacing w:after="120"/>
        <w:rPr>
          <w:rFonts w:ascii="Arial" w:eastAsia="Arial" w:hAnsi="Arial" w:cs="Arial"/>
          <w:b/>
          <w:bCs/>
          <w:color w:val="003594"/>
          <w:sz w:val="28"/>
          <w:szCs w:val="28"/>
        </w:rPr>
      </w:pPr>
      <w:r w:rsidRPr="4739FCB9">
        <w:rPr>
          <w:rFonts w:ascii="Arial" w:eastAsia="Arial" w:hAnsi="Arial" w:cs="Arial"/>
          <w:b/>
          <w:bCs/>
          <w:color w:val="003594"/>
          <w:sz w:val="28"/>
          <w:szCs w:val="28"/>
        </w:rPr>
        <w:t>6. Designing a Purposeful Retirement Lifestyle</w:t>
      </w:r>
    </w:p>
    <w:p w14:paraId="4C4B35F0" w14:textId="1715CBBE"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 xml:space="preserve">Hobbies, travel, encore work, and volunteering are the ingredients; a purposeful lifestyle is the recipe. Many retirees say they are </w:t>
      </w:r>
      <w:proofErr w:type="gramStart"/>
      <w:r w:rsidRPr="4739FCB9">
        <w:rPr>
          <w:rFonts w:ascii="Arial" w:hAnsi="Arial" w:cs="Arial"/>
          <w:color w:val="333333"/>
          <w:sz w:val="20"/>
          <w:szCs w:val="20"/>
        </w:rPr>
        <w:t>busy</w:t>
      </w:r>
      <w:proofErr w:type="gramEnd"/>
      <w:r w:rsidRPr="4739FCB9">
        <w:rPr>
          <w:rFonts w:ascii="Arial" w:hAnsi="Arial" w:cs="Arial"/>
          <w:color w:val="333333"/>
          <w:sz w:val="20"/>
          <w:szCs w:val="20"/>
        </w:rPr>
        <w:t xml:space="preserve"> about six </w:t>
      </w:r>
      <w:proofErr w:type="gramStart"/>
      <w:r w:rsidRPr="4739FCB9">
        <w:rPr>
          <w:rFonts w:ascii="Arial" w:hAnsi="Arial" w:cs="Arial"/>
          <w:color w:val="333333"/>
          <w:sz w:val="20"/>
          <w:szCs w:val="20"/>
        </w:rPr>
        <w:t>months in</w:t>
      </w:r>
      <w:proofErr w:type="gramEnd"/>
      <w:r w:rsidRPr="4739FCB9">
        <w:rPr>
          <w:rFonts w:ascii="Arial" w:hAnsi="Arial" w:cs="Arial"/>
          <w:color w:val="333333"/>
          <w:sz w:val="20"/>
          <w:szCs w:val="20"/>
        </w:rPr>
        <w:t xml:space="preserve"> but unsure the life they've built reflects what matters to them. These frameworks can help you plan with intention.</w:t>
      </w:r>
    </w:p>
    <w:p w14:paraId="7C611E76" w14:textId="34AE85D3"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Three Questions to Design Around</w:t>
      </w:r>
    </w:p>
    <w:p w14:paraId="34DA92BF" w14:textId="3E531BA6"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Values: </w:t>
      </w:r>
      <w:r w:rsidRPr="4739FCB9">
        <w:rPr>
          <w:rFonts w:ascii="Arial" w:hAnsi="Arial" w:cs="Arial"/>
          <w:color w:val="333333"/>
          <w:sz w:val="20"/>
          <w:szCs w:val="20"/>
        </w:rPr>
        <w:t>What has always mattered to me? Let your values (family, faith, learning, community, creativity) pick your activities, not the reverse.</w:t>
      </w:r>
    </w:p>
    <w:p w14:paraId="403C8938" w14:textId="251E655A"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Energy: </w:t>
      </w:r>
      <w:r w:rsidRPr="4739FCB9">
        <w:rPr>
          <w:rFonts w:ascii="Arial" w:hAnsi="Arial" w:cs="Arial"/>
          <w:color w:val="333333"/>
          <w:sz w:val="20"/>
          <w:szCs w:val="20"/>
        </w:rPr>
        <w:t>What kind of days do I want? Some people thrive on structure; others want open, unscheduled time. Design for your energy, not someone else's.</w:t>
      </w:r>
    </w:p>
    <w:p w14:paraId="6D690F65" w14:textId="1574BC9A"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Goals: </w:t>
      </w:r>
      <w:r w:rsidRPr="4739FCB9">
        <w:rPr>
          <w:rFonts w:ascii="Arial" w:hAnsi="Arial" w:cs="Arial"/>
          <w:color w:val="333333"/>
          <w:sz w:val="20"/>
          <w:szCs w:val="20"/>
        </w:rPr>
        <w:t>What do I want to be true a year from now? A goal turns free time into forward motion.</w:t>
      </w:r>
    </w:p>
    <w:p w14:paraId="72807EAA" w14:textId="0CC68C2B"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Four Ingredients of a Satisfying Day</w:t>
      </w:r>
    </w:p>
    <w:p w14:paraId="46882C07" w14:textId="43B8E7E3"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A sample day might include a morning walk, an OLLI class or volunteer shift, lunch with friends, hobby time, family time, and an evening wind-down. The point isn't the clock; it's a rhythm that blends:</w:t>
      </w:r>
    </w:p>
    <w:p w14:paraId="710DF483" w14:textId="2C6A541F"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Movement: </w:t>
      </w:r>
      <w:r w:rsidRPr="4739FCB9">
        <w:rPr>
          <w:rFonts w:ascii="Arial" w:hAnsi="Arial" w:cs="Arial"/>
          <w:color w:val="333333"/>
          <w:sz w:val="20"/>
          <w:szCs w:val="20"/>
        </w:rPr>
        <w:t>something physical, even light</w:t>
      </w:r>
    </w:p>
    <w:p w14:paraId="3F6A3BFA" w14:textId="3ED859DA"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Structure: </w:t>
      </w:r>
      <w:r w:rsidRPr="4739FCB9">
        <w:rPr>
          <w:rFonts w:ascii="Arial" w:hAnsi="Arial" w:cs="Arial"/>
          <w:color w:val="333333"/>
          <w:sz w:val="20"/>
          <w:szCs w:val="20"/>
        </w:rPr>
        <w:t>one anchor activity with other people</w:t>
      </w:r>
    </w:p>
    <w:p w14:paraId="698BBF5B" w14:textId="233280BD"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Connection: </w:t>
      </w:r>
      <w:r w:rsidRPr="4739FCB9">
        <w:rPr>
          <w:rFonts w:ascii="Arial" w:hAnsi="Arial" w:cs="Arial"/>
          <w:color w:val="333333"/>
          <w:sz w:val="20"/>
          <w:szCs w:val="20"/>
        </w:rPr>
        <w:t>a standing date with friends or family</w:t>
      </w:r>
    </w:p>
    <w:p w14:paraId="31390896" w14:textId="38EA94A5"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Something yours: </w:t>
      </w:r>
      <w:r w:rsidRPr="4739FCB9">
        <w:rPr>
          <w:rFonts w:ascii="Arial" w:hAnsi="Arial" w:cs="Arial"/>
          <w:color w:val="333333"/>
          <w:sz w:val="20"/>
          <w:szCs w:val="20"/>
        </w:rPr>
        <w:t>a hobby or interest just for you</w:t>
      </w:r>
    </w:p>
    <w:p w14:paraId="740B2600" w14:textId="373A862E"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Three Retirement Rhythms</w:t>
      </w:r>
    </w:p>
    <w:p w14:paraId="6ABDC116" w14:textId="2CBAADF2"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The Explorer: </w:t>
      </w:r>
      <w:r w:rsidRPr="4739FCB9">
        <w:rPr>
          <w:rFonts w:ascii="Arial" w:hAnsi="Arial" w:cs="Arial"/>
          <w:color w:val="333333"/>
          <w:sz w:val="20"/>
          <w:szCs w:val="20"/>
        </w:rPr>
        <w:t>Loosely structured and travel-forward, with trip planning, language classes, and open days.</w:t>
      </w:r>
    </w:p>
    <w:p w14:paraId="0CA56933" w14:textId="7C7F4660"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The Community Builder: </w:t>
      </w:r>
      <w:r w:rsidRPr="4739FCB9">
        <w:rPr>
          <w:rFonts w:ascii="Arial" w:hAnsi="Arial" w:cs="Arial"/>
          <w:color w:val="333333"/>
          <w:sz w:val="20"/>
          <w:szCs w:val="20"/>
        </w:rPr>
        <w:t>Driven by volunteering and mentorship, with shifts, mentoring calls, and board meetings.</w:t>
      </w:r>
    </w:p>
    <w:p w14:paraId="40C174D6" w14:textId="56CDD297"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lastRenderedPageBreak/>
        <w:t xml:space="preserve">The Balanced Homebody: </w:t>
      </w:r>
      <w:r w:rsidRPr="4739FCB9">
        <w:rPr>
          <w:rFonts w:ascii="Arial" w:hAnsi="Arial" w:cs="Arial"/>
          <w:color w:val="333333"/>
          <w:sz w:val="20"/>
          <w:szCs w:val="20"/>
        </w:rPr>
        <w:t>Steady, local, and low-key, with exercise classes, gardening, book club, and family time.</w:t>
      </w:r>
    </w:p>
    <w:p w14:paraId="58AC0F21" w14:textId="2A187B12" w:rsidR="00827A38" w:rsidRPr="00873B67" w:rsidRDefault="00827A38" w:rsidP="4739FCB9">
      <w:pPr>
        <w:spacing w:before="60" w:after="60" w:line="270" w:lineRule="atLeast"/>
        <w:rPr>
          <w:rFonts w:ascii="Arial" w:hAnsi="Arial" w:cs="Arial"/>
          <w:color w:val="555555"/>
          <w:sz w:val="18"/>
          <w:szCs w:val="18"/>
        </w:rPr>
      </w:pPr>
      <w:r w:rsidRPr="4739FCB9">
        <w:rPr>
          <w:rFonts w:ascii="Arial" w:hAnsi="Arial" w:cs="Arial"/>
          <w:color w:val="555555"/>
          <w:sz w:val="18"/>
          <w:szCs w:val="18"/>
        </w:rPr>
        <w:t>Try this: Pick the rhythm that appeals to you, then ask what that week would need.</w:t>
      </w:r>
    </w:p>
    <w:p w14:paraId="5BCD5993" w14:textId="2015A822"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Navigating the Emotional Transition</w:t>
      </w:r>
    </w:p>
    <w:p w14:paraId="6FF24E84" w14:textId="6CD9549F"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Retirement is a major life transition, and it's normal for it to take time to adjust.</w:t>
      </w:r>
    </w:p>
    <w:p w14:paraId="3DBB104B" w14:textId="5D52F378"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Loss of structure and identity: </w:t>
      </w:r>
      <w:r w:rsidRPr="4739FCB9">
        <w:rPr>
          <w:rFonts w:ascii="Arial" w:hAnsi="Arial" w:cs="Arial"/>
          <w:color w:val="333333"/>
          <w:sz w:val="20"/>
          <w:szCs w:val="20"/>
        </w:rPr>
        <w:t>Take the first few months slowly and build a loose routine around a few anchor activities and people.</w:t>
      </w:r>
    </w:p>
    <w:p w14:paraId="4C6CEE47" w14:textId="20A93D21"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Changing health and energy: </w:t>
      </w:r>
      <w:r w:rsidRPr="4739FCB9">
        <w:rPr>
          <w:rFonts w:ascii="Arial" w:hAnsi="Arial" w:cs="Arial"/>
          <w:color w:val="333333"/>
          <w:sz w:val="20"/>
          <w:szCs w:val="20"/>
        </w:rPr>
        <w:t>Let plans flex with you. Pair bigger goals like travel with lower-effort options such as local groups and virtual classes.</w:t>
      </w:r>
    </w:p>
    <w:p w14:paraId="09FDFC41" w14:textId="0383A47C"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Staying engaged: </w:t>
      </w:r>
      <w:r w:rsidRPr="4739FCB9">
        <w:rPr>
          <w:rFonts w:ascii="Arial" w:hAnsi="Arial" w:cs="Arial"/>
          <w:color w:val="333333"/>
          <w:sz w:val="20"/>
          <w:szCs w:val="20"/>
        </w:rPr>
        <w:t>Community, not just activity, sustains people long-term. Prioritize people and groups, not just tasks and hobbies.</w:t>
      </w:r>
    </w:p>
    <w:p w14:paraId="6FC2F0A6" w14:textId="499DB999" w:rsidR="00827A38" w:rsidRPr="00873B67" w:rsidRDefault="00827A38" w:rsidP="4739FCB9">
      <w:pPr>
        <w:pStyle w:val="Heading1"/>
        <w:pBdr>
          <w:bottom w:val="single" w:sz="4" w:space="0" w:color="FFB81C"/>
        </w:pBdr>
        <w:spacing w:after="120"/>
        <w:rPr>
          <w:rFonts w:ascii="Arial" w:eastAsia="Arial" w:hAnsi="Arial" w:cs="Arial"/>
          <w:b/>
          <w:bCs/>
          <w:color w:val="003594"/>
          <w:sz w:val="28"/>
          <w:szCs w:val="28"/>
        </w:rPr>
      </w:pPr>
      <w:r w:rsidRPr="4739FCB9">
        <w:rPr>
          <w:rFonts w:ascii="Arial" w:eastAsia="Arial" w:hAnsi="Arial" w:cs="Arial"/>
          <w:b/>
          <w:bCs/>
          <w:color w:val="003594"/>
          <w:sz w:val="28"/>
          <w:szCs w:val="28"/>
        </w:rPr>
        <w:t>7. Maintaining Social Connections</w:t>
      </w:r>
    </w:p>
    <w:p w14:paraId="2497027F" w14:textId="0456D827"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 xml:space="preserve">When asked what surprised them most, retirees rarely mention money. Instead, it's how quickly everyday contact with </w:t>
      </w:r>
      <w:proofErr w:type="gramStart"/>
      <w:r w:rsidRPr="4739FCB9">
        <w:rPr>
          <w:rFonts w:ascii="Arial" w:hAnsi="Arial" w:cs="Arial"/>
          <w:color w:val="333333"/>
          <w:sz w:val="20"/>
          <w:szCs w:val="20"/>
        </w:rPr>
        <w:t>colleagues</w:t>
      </w:r>
      <w:proofErr w:type="gramEnd"/>
      <w:r w:rsidRPr="4739FCB9">
        <w:rPr>
          <w:rFonts w:ascii="Arial" w:hAnsi="Arial" w:cs="Arial"/>
          <w:color w:val="333333"/>
          <w:sz w:val="20"/>
          <w:szCs w:val="20"/>
        </w:rPr>
        <w:t xml:space="preserve"> fades. That isn't because people stop caring; it's because the routine that brought you together changes. The key is to make connection recurring and put it on the calendar.</w:t>
      </w:r>
    </w:p>
    <w:p w14:paraId="50479515" w14:textId="058060A5"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Former colleagues: </w:t>
      </w:r>
      <w:r w:rsidRPr="4739FCB9">
        <w:rPr>
          <w:rFonts w:ascii="Arial" w:hAnsi="Arial" w:cs="Arial"/>
          <w:color w:val="333333"/>
          <w:sz w:val="20"/>
          <w:szCs w:val="20"/>
        </w:rPr>
        <w:t>Schedule recurring coffee or lunch dates before you leave.</w:t>
      </w:r>
    </w:p>
    <w:p w14:paraId="652F2363" w14:textId="6CAB9060"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Lifelong learning communities: </w:t>
      </w:r>
      <w:r w:rsidRPr="4739FCB9">
        <w:rPr>
          <w:rFonts w:ascii="Arial" w:hAnsi="Arial" w:cs="Arial"/>
          <w:color w:val="333333"/>
          <w:sz w:val="20"/>
          <w:szCs w:val="20"/>
        </w:rPr>
        <w:t>Classes and clubs such as OLLI and alumni programs build friendships around shared interests.</w:t>
      </w:r>
    </w:p>
    <w:p w14:paraId="5C6D8838" w14:textId="315B96E1"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Volunteer and faith communities: </w:t>
      </w:r>
      <w:r w:rsidRPr="4739FCB9">
        <w:rPr>
          <w:rFonts w:ascii="Arial" w:hAnsi="Arial" w:cs="Arial"/>
          <w:color w:val="333333"/>
          <w:sz w:val="20"/>
          <w:szCs w:val="20"/>
        </w:rPr>
        <w:t>Regular commitments create a built-in social rhythm.</w:t>
      </w:r>
    </w:p>
    <w:p w14:paraId="710FC4D3" w14:textId="11FFF4C7"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Family and multigenerational time: </w:t>
      </w:r>
      <w:r w:rsidRPr="4739FCB9">
        <w:rPr>
          <w:rFonts w:ascii="Arial" w:hAnsi="Arial" w:cs="Arial"/>
          <w:color w:val="333333"/>
          <w:sz w:val="20"/>
          <w:szCs w:val="20"/>
        </w:rPr>
        <w:t>Flexible time opens the door to grandchildren, adult children, and extended family.</w:t>
      </w:r>
    </w:p>
    <w:p w14:paraId="04FED5DB" w14:textId="30532F93"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Technology and virtual groups: </w:t>
      </w:r>
      <w:r w:rsidRPr="4739FCB9">
        <w:rPr>
          <w:rFonts w:ascii="Arial" w:hAnsi="Arial" w:cs="Arial"/>
          <w:color w:val="333333"/>
          <w:sz w:val="20"/>
          <w:szCs w:val="20"/>
        </w:rPr>
        <w:t>Video calls and online interest groups keep you close to people farther away.</w:t>
      </w:r>
    </w:p>
    <w:p w14:paraId="3F5EE822" w14:textId="39C77D02"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Clubs, leagues, and group fitness: </w:t>
      </w:r>
      <w:r w:rsidRPr="4739FCB9">
        <w:rPr>
          <w:rFonts w:ascii="Arial" w:hAnsi="Arial" w:cs="Arial"/>
          <w:color w:val="333333"/>
          <w:sz w:val="20"/>
          <w:szCs w:val="20"/>
        </w:rPr>
        <w:t>Recurring, activity-based groups combine movement with community.</w:t>
      </w:r>
    </w:p>
    <w:p w14:paraId="36FC3552" w14:textId="0BF4BBE0" w:rsidR="00827A38" w:rsidRPr="00873B67" w:rsidRDefault="00827A38" w:rsidP="4739FCB9">
      <w:pPr>
        <w:pStyle w:val="Heading1"/>
        <w:pBdr>
          <w:bottom w:val="single" w:sz="4" w:space="0" w:color="FFB81C"/>
        </w:pBdr>
        <w:spacing w:after="120"/>
        <w:rPr>
          <w:rFonts w:ascii="Arial" w:eastAsia="Arial" w:hAnsi="Arial" w:cs="Arial"/>
          <w:b/>
          <w:bCs/>
          <w:color w:val="003594"/>
          <w:sz w:val="28"/>
          <w:szCs w:val="28"/>
        </w:rPr>
      </w:pPr>
      <w:r w:rsidRPr="4739FCB9">
        <w:rPr>
          <w:rFonts w:ascii="Arial" w:eastAsia="Arial" w:hAnsi="Arial" w:cs="Arial"/>
          <w:b/>
          <w:bCs/>
          <w:color w:val="003594"/>
          <w:sz w:val="28"/>
          <w:szCs w:val="28"/>
        </w:rPr>
        <w:t>8. Vision-Boarding &amp; Goal Setting</w:t>
      </w:r>
    </w:p>
    <w:p w14:paraId="049663E2" w14:textId="592F03EB"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A retirement plan that lives only in your head tends to stay there. Grab a notebook, or the fillable Retirement Passport PDF, and work through these two exercises.</w:t>
      </w:r>
    </w:p>
    <w:p w14:paraId="18828775" w14:textId="1BCDE034"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Build Your Retirement Vision Board</w:t>
      </w:r>
    </w:p>
    <w:p w14:paraId="62934960" w14:textId="366AC2EE"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Answer quickly; your first answer is usually the honest one.</w:t>
      </w:r>
    </w:p>
    <w:p w14:paraId="4772D8B8" w14:textId="748D4660"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Who: </w:t>
      </w:r>
      <w:r w:rsidRPr="4739FCB9">
        <w:rPr>
          <w:rFonts w:ascii="Arial" w:hAnsi="Arial" w:cs="Arial"/>
          <w:color w:val="333333"/>
          <w:sz w:val="20"/>
          <w:szCs w:val="20"/>
        </w:rPr>
        <w:t>Which people do I want in my daily and weekly life?</w:t>
      </w:r>
    </w:p>
    <w:p w14:paraId="1BF0D374" w14:textId="4F2F1C1A"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What: </w:t>
      </w:r>
      <w:r w:rsidRPr="4739FCB9">
        <w:rPr>
          <w:rFonts w:ascii="Arial" w:hAnsi="Arial" w:cs="Arial"/>
          <w:color w:val="333333"/>
          <w:sz w:val="20"/>
          <w:szCs w:val="20"/>
        </w:rPr>
        <w:t>Which activities, hobbies, or work make me feel most myself?</w:t>
      </w:r>
    </w:p>
    <w:p w14:paraId="00ECBCFF" w14:textId="0AD4CBFE"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Where: </w:t>
      </w:r>
      <w:r w:rsidRPr="4739FCB9">
        <w:rPr>
          <w:rFonts w:ascii="Arial" w:hAnsi="Arial" w:cs="Arial"/>
          <w:color w:val="333333"/>
          <w:sz w:val="20"/>
          <w:szCs w:val="20"/>
        </w:rPr>
        <w:t>What places, near or far, do I want to spend time in?</w:t>
      </w:r>
    </w:p>
    <w:p w14:paraId="151B2A6D" w14:textId="2DF4AF02"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Why: </w:t>
      </w:r>
      <w:r w:rsidRPr="4739FCB9">
        <w:rPr>
          <w:rFonts w:ascii="Arial" w:hAnsi="Arial" w:cs="Arial"/>
          <w:color w:val="333333"/>
          <w:sz w:val="20"/>
          <w:szCs w:val="20"/>
        </w:rPr>
        <w:t>What legacy, feeling, or impact do I want this chapter to leave?</w:t>
      </w:r>
    </w:p>
    <w:p w14:paraId="4E375C62" w14:textId="20AB9454" w:rsidR="00827A38" w:rsidRPr="00873B67" w:rsidRDefault="00827A38" w:rsidP="4739FCB9">
      <w:pPr>
        <w:pStyle w:val="Heading2"/>
        <w:spacing w:before="280"/>
        <w:rPr>
          <w:rFonts w:ascii="Arial" w:hAnsi="Arial" w:cs="Arial"/>
          <w:b/>
          <w:bCs/>
          <w:color w:val="003594"/>
          <w:sz w:val="24"/>
          <w:szCs w:val="24"/>
        </w:rPr>
      </w:pPr>
      <w:proofErr w:type="gramStart"/>
      <w:r w:rsidRPr="4739FCB9">
        <w:rPr>
          <w:rFonts w:ascii="Arial" w:hAnsi="Arial" w:cs="Arial"/>
          <w:b/>
          <w:bCs/>
          <w:color w:val="003594"/>
          <w:sz w:val="24"/>
          <w:szCs w:val="24"/>
        </w:rPr>
        <w:t>Turn</w:t>
      </w:r>
      <w:proofErr w:type="gramEnd"/>
      <w:r w:rsidRPr="4739FCB9">
        <w:rPr>
          <w:rFonts w:ascii="Arial" w:hAnsi="Arial" w:cs="Arial"/>
          <w:b/>
          <w:bCs/>
          <w:color w:val="003594"/>
          <w:sz w:val="24"/>
          <w:szCs w:val="24"/>
        </w:rPr>
        <w:t xml:space="preserve"> Your Vision into a SMART Goal</w:t>
      </w:r>
    </w:p>
    <w:p w14:paraId="3CDFF734" w14:textId="7121B888"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Pick one item from your vision board and shape it into a goal:</w:t>
      </w:r>
    </w:p>
    <w:p w14:paraId="771B4EB8" w14:textId="3AB00DF8"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Specific: </w:t>
      </w:r>
      <w:r w:rsidRPr="4739FCB9">
        <w:rPr>
          <w:rFonts w:ascii="Arial" w:hAnsi="Arial" w:cs="Arial"/>
          <w:color w:val="333333"/>
          <w:sz w:val="20"/>
          <w:szCs w:val="20"/>
        </w:rPr>
        <w:t>"Volunteer at the food bank," not just "give back more."</w:t>
      </w:r>
    </w:p>
    <w:p w14:paraId="6DA7D7F6" w14:textId="7DCF5346"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Measurable: </w:t>
      </w:r>
      <w:r w:rsidRPr="4739FCB9">
        <w:rPr>
          <w:rFonts w:ascii="Arial" w:hAnsi="Arial" w:cs="Arial"/>
          <w:color w:val="333333"/>
          <w:sz w:val="20"/>
          <w:szCs w:val="20"/>
        </w:rPr>
        <w:t>"Once a week" or "4 hours a month," so you know you're doing it.</w:t>
      </w:r>
    </w:p>
    <w:p w14:paraId="5B14E097" w14:textId="3EE8E442"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Achievable: </w:t>
      </w:r>
      <w:proofErr w:type="gramStart"/>
      <w:r w:rsidRPr="4739FCB9">
        <w:rPr>
          <w:rFonts w:ascii="Arial" w:hAnsi="Arial" w:cs="Arial"/>
          <w:color w:val="333333"/>
          <w:sz w:val="20"/>
          <w:szCs w:val="20"/>
        </w:rPr>
        <w:t>Right-sized</w:t>
      </w:r>
      <w:proofErr w:type="gramEnd"/>
      <w:r w:rsidRPr="4739FCB9">
        <w:rPr>
          <w:rFonts w:ascii="Arial" w:hAnsi="Arial" w:cs="Arial"/>
          <w:color w:val="333333"/>
          <w:sz w:val="20"/>
          <w:szCs w:val="20"/>
        </w:rPr>
        <w:t xml:space="preserve"> for your health, energy, and finances today.</w:t>
      </w:r>
    </w:p>
    <w:p w14:paraId="4AF8F42B" w14:textId="13B5ACD9"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Relevant: </w:t>
      </w:r>
      <w:r w:rsidRPr="4739FCB9">
        <w:rPr>
          <w:rFonts w:ascii="Arial" w:hAnsi="Arial" w:cs="Arial"/>
          <w:color w:val="333333"/>
          <w:sz w:val="20"/>
          <w:szCs w:val="20"/>
        </w:rPr>
        <w:t>Connected to the values you named in your vision board.</w:t>
      </w:r>
    </w:p>
    <w:p w14:paraId="4BBC045D" w14:textId="7BFCD6C2"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Time-bound: </w:t>
      </w:r>
      <w:r w:rsidRPr="4739FCB9">
        <w:rPr>
          <w:rFonts w:ascii="Arial" w:hAnsi="Arial" w:cs="Arial"/>
          <w:color w:val="333333"/>
          <w:sz w:val="20"/>
          <w:szCs w:val="20"/>
        </w:rPr>
        <w:t>"By the end of the year" gives it a finish line, not just a wish.</w:t>
      </w:r>
    </w:p>
    <w:p w14:paraId="716B7CAE" w14:textId="7849C6C6" w:rsidR="00827A38" w:rsidRPr="00873B67" w:rsidRDefault="1B34EB12" w:rsidP="4739FCB9">
      <w:pPr>
        <w:pStyle w:val="Heading1"/>
        <w:pBdr>
          <w:bottom w:val="single" w:sz="4" w:space="0" w:color="FFB81C"/>
        </w:pBdr>
        <w:spacing w:after="120"/>
        <w:rPr>
          <w:rFonts w:ascii="Arial" w:eastAsia="Arial" w:hAnsi="Arial" w:cs="Arial"/>
          <w:b/>
          <w:bCs/>
          <w:color w:val="003594"/>
          <w:sz w:val="28"/>
          <w:szCs w:val="28"/>
        </w:rPr>
      </w:pPr>
      <w:r w:rsidRPr="4739FCB9">
        <w:rPr>
          <w:rFonts w:ascii="Arial" w:eastAsia="Arial" w:hAnsi="Arial" w:cs="Arial"/>
          <w:b/>
          <w:bCs/>
          <w:color w:val="003594"/>
          <w:sz w:val="28"/>
          <w:szCs w:val="28"/>
        </w:rPr>
        <w:lastRenderedPageBreak/>
        <w:t>9</w:t>
      </w:r>
      <w:r w:rsidR="00827A38" w:rsidRPr="4739FCB9">
        <w:rPr>
          <w:rFonts w:ascii="Arial" w:eastAsia="Arial" w:hAnsi="Arial" w:cs="Arial"/>
          <w:b/>
          <w:bCs/>
          <w:color w:val="003594"/>
          <w:sz w:val="28"/>
          <w:szCs w:val="28"/>
        </w:rPr>
        <w:t>. Series Materials &amp; Next Steps</w:t>
      </w:r>
    </w:p>
    <w:p w14:paraId="439B234F" w14:textId="6E2C18EA"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This session was the last of the 10-part Summer Retirement Readiness Series. All materials are on the OHR Retirement Readiness page at hr.pitt.edu/retirement-readiness.</w:t>
      </w:r>
    </w:p>
    <w:p w14:paraId="31A67088" w14:textId="4CDA833C"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Recordings: </w:t>
      </w:r>
      <w:r w:rsidRPr="4739FCB9">
        <w:rPr>
          <w:rFonts w:ascii="Arial" w:hAnsi="Arial" w:cs="Arial"/>
          <w:color w:val="333333"/>
          <w:sz w:val="20"/>
          <w:szCs w:val="20"/>
        </w:rPr>
        <w:t xml:space="preserve">Recordings of earlier sessions and their slide decks are posted (where recording and slide sharing were permitted). </w:t>
      </w:r>
      <w:proofErr w:type="gramStart"/>
      <w:r w:rsidRPr="4739FCB9">
        <w:rPr>
          <w:rFonts w:ascii="Arial" w:hAnsi="Arial" w:cs="Arial"/>
          <w:color w:val="333333"/>
          <w:sz w:val="20"/>
          <w:szCs w:val="20"/>
        </w:rPr>
        <w:t>The August</w:t>
      </w:r>
      <w:proofErr w:type="gramEnd"/>
      <w:r w:rsidRPr="4739FCB9">
        <w:rPr>
          <w:rFonts w:ascii="Arial" w:hAnsi="Arial" w:cs="Arial"/>
          <w:color w:val="333333"/>
          <w:sz w:val="20"/>
          <w:szCs w:val="20"/>
        </w:rPr>
        <w:t xml:space="preserve"> 11, 12, and 13 recordings and decks will be added shortly.</w:t>
      </w:r>
    </w:p>
    <w:p w14:paraId="5937DB49" w14:textId="0B8D27E9"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Written summaries: </w:t>
      </w:r>
      <w:r w:rsidRPr="4739FCB9">
        <w:rPr>
          <w:rFonts w:ascii="Arial" w:hAnsi="Arial" w:cs="Arial"/>
          <w:color w:val="333333"/>
          <w:sz w:val="20"/>
          <w:szCs w:val="20"/>
        </w:rPr>
        <w:t>Written summaries are being prepared for sessions that could not be recorded because of vendor restrictions.</w:t>
      </w:r>
    </w:p>
    <w:p w14:paraId="4EE45D1B" w14:textId="487BA2C7"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Notification: </w:t>
      </w:r>
      <w:r w:rsidRPr="4739FCB9">
        <w:rPr>
          <w:rFonts w:ascii="Arial" w:hAnsi="Arial" w:cs="Arial"/>
          <w:color w:val="333333"/>
          <w:sz w:val="20"/>
          <w:szCs w:val="20"/>
        </w:rPr>
        <w:t>The Benefits Department will email you when all recordings, decks, and summaries are posted.</w:t>
      </w:r>
    </w:p>
    <w:p w14:paraId="29D4A9A1" w14:textId="69B98DE2" w:rsidR="00827A38" w:rsidRPr="00873B67" w:rsidRDefault="00827A38" w:rsidP="4739FCB9">
      <w:pPr>
        <w:pStyle w:val="ListBullet"/>
        <w:spacing w:before="40" w:after="40" w:line="270" w:lineRule="atLeast"/>
        <w:rPr>
          <w:rFonts w:ascii="Arial" w:hAnsi="Arial" w:cs="Arial"/>
          <w:color w:val="333333"/>
          <w:sz w:val="20"/>
          <w:szCs w:val="20"/>
        </w:rPr>
      </w:pPr>
      <w:r w:rsidRPr="4739FCB9">
        <w:rPr>
          <w:rFonts w:ascii="Arial" w:hAnsi="Arial" w:cs="Arial"/>
          <w:b/>
          <w:bCs/>
          <w:color w:val="333333"/>
          <w:sz w:val="20"/>
          <w:szCs w:val="20"/>
        </w:rPr>
        <w:t xml:space="preserve">Feedback: </w:t>
      </w:r>
      <w:r w:rsidRPr="4739FCB9">
        <w:rPr>
          <w:rFonts w:ascii="Arial" w:hAnsi="Arial" w:cs="Arial"/>
          <w:color w:val="333333"/>
          <w:sz w:val="20"/>
          <w:szCs w:val="20"/>
        </w:rPr>
        <w:t>A post-session survey will be sent to your registration email. Share your thoughts on presenters, content, format, and future topics.</w:t>
      </w:r>
    </w:p>
    <w:p w14:paraId="5E7C50A4" w14:textId="7D2425E8"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Full Series Schedule</w:t>
      </w:r>
    </w:p>
    <w:p w14:paraId="622E8489" w14:textId="21FB607C" w:rsidR="00827A38" w:rsidRPr="00873B67" w:rsidRDefault="00827A38" w:rsidP="4739FCB9">
      <w:pPr>
        <w:pStyle w:val="ListNumber"/>
        <w:spacing w:before="40" w:after="40" w:line="270" w:lineRule="atLeast"/>
        <w:rPr>
          <w:rFonts w:ascii="Arial" w:hAnsi="Arial" w:cs="Arial"/>
          <w:color w:val="333333"/>
          <w:sz w:val="20"/>
          <w:szCs w:val="20"/>
        </w:rPr>
      </w:pPr>
      <w:r w:rsidRPr="4739FCB9">
        <w:rPr>
          <w:rFonts w:ascii="Arial" w:hAnsi="Arial" w:cs="Arial"/>
          <w:color w:val="333333"/>
          <w:sz w:val="20"/>
          <w:szCs w:val="20"/>
        </w:rPr>
        <w:t>May 27 — Your Retirement Roadmap: Administrative Steps to Get There</w:t>
      </w:r>
    </w:p>
    <w:p w14:paraId="2D9F5742" w14:textId="18D1C318" w:rsidR="00827A38" w:rsidRPr="00873B67" w:rsidRDefault="00827A38" w:rsidP="4739FCB9">
      <w:pPr>
        <w:pStyle w:val="ListNumber"/>
        <w:spacing w:before="40" w:after="40" w:line="270" w:lineRule="atLeast"/>
        <w:rPr>
          <w:rFonts w:ascii="Arial" w:hAnsi="Arial" w:cs="Arial"/>
          <w:color w:val="333333"/>
          <w:sz w:val="20"/>
          <w:szCs w:val="20"/>
        </w:rPr>
      </w:pPr>
      <w:r w:rsidRPr="4739FCB9">
        <w:rPr>
          <w:rFonts w:ascii="Arial" w:hAnsi="Arial" w:cs="Arial"/>
          <w:color w:val="333333"/>
          <w:sz w:val="20"/>
          <w:szCs w:val="20"/>
        </w:rPr>
        <w:t>May 28 — Pre-65 Health Insurance: Coverage When You Retire Between 62–64</w:t>
      </w:r>
    </w:p>
    <w:p w14:paraId="54E3507F" w14:textId="34E5904D" w:rsidR="00827A38" w:rsidRPr="00873B67" w:rsidRDefault="00827A38" w:rsidP="4739FCB9">
      <w:pPr>
        <w:pStyle w:val="ListNumber"/>
        <w:spacing w:before="40" w:after="40" w:line="270" w:lineRule="atLeast"/>
        <w:rPr>
          <w:rFonts w:ascii="Arial" w:hAnsi="Arial" w:cs="Arial"/>
          <w:color w:val="333333"/>
          <w:sz w:val="20"/>
          <w:szCs w:val="20"/>
        </w:rPr>
      </w:pPr>
      <w:r w:rsidRPr="4739FCB9">
        <w:rPr>
          <w:rFonts w:ascii="Arial" w:hAnsi="Arial" w:cs="Arial"/>
          <w:color w:val="333333"/>
          <w:sz w:val="20"/>
          <w:szCs w:val="20"/>
        </w:rPr>
        <w:t>June 16 — Medicare &amp; Social Security Benefit Strategies</w:t>
      </w:r>
    </w:p>
    <w:p w14:paraId="2F9409F4" w14:textId="20512F35" w:rsidR="00827A38" w:rsidRPr="00873B67" w:rsidRDefault="00827A38" w:rsidP="4739FCB9">
      <w:pPr>
        <w:pStyle w:val="ListNumber"/>
        <w:spacing w:before="40" w:after="40" w:line="270" w:lineRule="atLeast"/>
        <w:rPr>
          <w:rFonts w:ascii="Arial" w:hAnsi="Arial" w:cs="Arial"/>
          <w:color w:val="333333"/>
          <w:sz w:val="20"/>
          <w:szCs w:val="20"/>
        </w:rPr>
      </w:pPr>
      <w:r w:rsidRPr="4739FCB9">
        <w:rPr>
          <w:rFonts w:ascii="Arial" w:hAnsi="Arial" w:cs="Arial"/>
          <w:color w:val="333333"/>
          <w:sz w:val="20"/>
          <w:szCs w:val="20"/>
        </w:rPr>
        <w:t>June 17 — Post-65 Health Insurance: Navigating Your Benefits at 65+</w:t>
      </w:r>
    </w:p>
    <w:p w14:paraId="5D4EAC1B" w14:textId="04B93783" w:rsidR="00827A38" w:rsidRPr="00873B67" w:rsidRDefault="00827A38" w:rsidP="4739FCB9">
      <w:pPr>
        <w:pStyle w:val="ListNumber"/>
        <w:spacing w:before="40" w:after="40" w:line="270" w:lineRule="atLeast"/>
        <w:rPr>
          <w:rFonts w:ascii="Arial" w:hAnsi="Arial" w:cs="Arial"/>
          <w:color w:val="333333"/>
          <w:sz w:val="20"/>
          <w:szCs w:val="20"/>
        </w:rPr>
      </w:pPr>
      <w:r w:rsidRPr="4739FCB9">
        <w:rPr>
          <w:rFonts w:ascii="Arial" w:hAnsi="Arial" w:cs="Arial"/>
          <w:color w:val="333333"/>
          <w:sz w:val="20"/>
          <w:szCs w:val="20"/>
        </w:rPr>
        <w:t>July 14 — Retirement Ready: Income, Savings &amp; Financial Planning</w:t>
      </w:r>
    </w:p>
    <w:p w14:paraId="2E2D792D" w14:textId="3A9E6A24" w:rsidR="00827A38" w:rsidRPr="00873B67" w:rsidRDefault="00827A38" w:rsidP="4739FCB9">
      <w:pPr>
        <w:pStyle w:val="ListNumber"/>
        <w:spacing w:before="40" w:after="40" w:line="270" w:lineRule="atLeast"/>
        <w:rPr>
          <w:rFonts w:ascii="Arial" w:hAnsi="Arial" w:cs="Arial"/>
          <w:color w:val="333333"/>
          <w:sz w:val="20"/>
          <w:szCs w:val="20"/>
        </w:rPr>
      </w:pPr>
      <w:r w:rsidRPr="4739FCB9">
        <w:rPr>
          <w:rFonts w:ascii="Arial" w:hAnsi="Arial" w:cs="Arial"/>
          <w:color w:val="333333"/>
          <w:sz w:val="20"/>
          <w:szCs w:val="20"/>
        </w:rPr>
        <w:t>July 16 — From Today to Tomorrow: Lifetime &amp; Legacy Planning</w:t>
      </w:r>
    </w:p>
    <w:p w14:paraId="218E865F" w14:textId="7710DB66" w:rsidR="00827A38" w:rsidRPr="00873B67" w:rsidRDefault="00827A38" w:rsidP="4739FCB9">
      <w:pPr>
        <w:pStyle w:val="ListNumber"/>
        <w:spacing w:before="40" w:after="40" w:line="270" w:lineRule="atLeast"/>
        <w:rPr>
          <w:rFonts w:ascii="Arial" w:hAnsi="Arial" w:cs="Arial"/>
          <w:color w:val="333333"/>
          <w:sz w:val="20"/>
          <w:szCs w:val="20"/>
        </w:rPr>
      </w:pPr>
      <w:r w:rsidRPr="4739FCB9">
        <w:rPr>
          <w:rFonts w:ascii="Arial" w:hAnsi="Arial" w:cs="Arial"/>
          <w:color w:val="333333"/>
          <w:sz w:val="20"/>
          <w:szCs w:val="20"/>
        </w:rPr>
        <w:t>July 29 — Protecting What You've Built: Estate Planning &amp; Legal Essentials</w:t>
      </w:r>
    </w:p>
    <w:p w14:paraId="73C5A7E0" w14:textId="2686172B" w:rsidR="00827A38" w:rsidRPr="00873B67" w:rsidRDefault="00827A38" w:rsidP="4739FCB9">
      <w:pPr>
        <w:pStyle w:val="ListNumber"/>
        <w:spacing w:before="40" w:after="40" w:line="270" w:lineRule="atLeast"/>
        <w:rPr>
          <w:rFonts w:ascii="Arial" w:hAnsi="Arial" w:cs="Arial"/>
          <w:color w:val="333333"/>
          <w:sz w:val="20"/>
          <w:szCs w:val="20"/>
        </w:rPr>
      </w:pPr>
      <w:r w:rsidRPr="4739FCB9">
        <w:rPr>
          <w:rFonts w:ascii="Arial" w:hAnsi="Arial" w:cs="Arial"/>
          <w:color w:val="333333"/>
          <w:sz w:val="20"/>
          <w:szCs w:val="20"/>
        </w:rPr>
        <w:t>Aug. 11 — Mindfulness &amp; Wellbeing in Retirement</w:t>
      </w:r>
    </w:p>
    <w:p w14:paraId="00C63384" w14:textId="5B17F1C3" w:rsidR="00827A38" w:rsidRPr="00873B67" w:rsidRDefault="00827A38" w:rsidP="4739FCB9">
      <w:pPr>
        <w:pStyle w:val="ListNumber"/>
        <w:spacing w:before="40" w:after="40" w:line="270" w:lineRule="atLeast"/>
        <w:rPr>
          <w:rFonts w:ascii="Arial" w:hAnsi="Arial" w:cs="Arial"/>
          <w:color w:val="333333"/>
          <w:sz w:val="20"/>
          <w:szCs w:val="20"/>
        </w:rPr>
      </w:pPr>
      <w:r w:rsidRPr="4739FCB9">
        <w:rPr>
          <w:rFonts w:ascii="Arial" w:hAnsi="Arial" w:cs="Arial"/>
          <w:color w:val="333333"/>
          <w:sz w:val="20"/>
          <w:szCs w:val="20"/>
        </w:rPr>
        <w:t>Aug. 12 — The Human Side of Retirement: What Science Tells Us About Aging Well</w:t>
      </w:r>
    </w:p>
    <w:p w14:paraId="4EB2FB3C" w14:textId="69BEECF8" w:rsidR="00827A38" w:rsidRPr="00873B67" w:rsidRDefault="00827A38" w:rsidP="4739FCB9">
      <w:pPr>
        <w:pStyle w:val="ListNumber"/>
        <w:spacing w:before="40" w:after="40" w:line="270" w:lineRule="atLeast"/>
        <w:rPr>
          <w:rFonts w:ascii="Arial" w:hAnsi="Arial" w:cs="Arial"/>
          <w:color w:val="333333"/>
          <w:sz w:val="20"/>
          <w:szCs w:val="20"/>
        </w:rPr>
      </w:pPr>
      <w:r w:rsidRPr="4739FCB9">
        <w:rPr>
          <w:rFonts w:ascii="Arial" w:hAnsi="Arial" w:cs="Arial"/>
          <w:color w:val="333333"/>
          <w:sz w:val="20"/>
          <w:szCs w:val="20"/>
        </w:rPr>
        <w:t>Aug. 13 — Life After Retirement: Lifestyle, Purpose &amp; Planning Ahead</w:t>
      </w:r>
    </w:p>
    <w:p w14:paraId="435D140D" w14:textId="6DFF4FFE" w:rsidR="00827A38" w:rsidRPr="00873B67" w:rsidRDefault="00827A38" w:rsidP="4739FCB9">
      <w:pPr>
        <w:pStyle w:val="Heading1"/>
        <w:pBdr>
          <w:bottom w:val="single" w:sz="4" w:space="0" w:color="FFB81C"/>
        </w:pBdr>
        <w:spacing w:after="120"/>
        <w:rPr>
          <w:rFonts w:ascii="Arial" w:eastAsia="Arial" w:hAnsi="Arial" w:cs="Arial"/>
          <w:b/>
          <w:bCs/>
          <w:color w:val="003594"/>
          <w:sz w:val="28"/>
          <w:szCs w:val="28"/>
        </w:rPr>
      </w:pPr>
      <w:r w:rsidRPr="4739FCB9">
        <w:rPr>
          <w:rFonts w:ascii="Arial" w:eastAsia="Arial" w:hAnsi="Arial" w:cs="Arial"/>
          <w:b/>
          <w:bCs/>
          <w:color w:val="003594"/>
          <w:sz w:val="28"/>
          <w:szCs w:val="28"/>
        </w:rPr>
        <w:t>11. Resources &amp; Contacts</w:t>
      </w:r>
    </w:p>
    <w:p w14:paraId="64D70133" w14:textId="00545035"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b/>
          <w:bCs/>
          <w:color w:val="333333"/>
          <w:sz w:val="20"/>
          <w:szCs w:val="20"/>
        </w:rPr>
        <w:t xml:space="preserve">Questions? </w:t>
      </w:r>
      <w:r w:rsidRPr="4739FCB9">
        <w:rPr>
          <w:rFonts w:ascii="Arial" w:hAnsi="Arial" w:cs="Arial"/>
          <w:color w:val="333333"/>
          <w:sz w:val="20"/>
          <w:szCs w:val="20"/>
        </w:rPr>
        <w:t>Benefits Customer Support: 833-852-2210, Monday–Friday, 8:30 a.m. to 5 p.m., or submit an inquiry at hr.pitt.edu/contact-</w:t>
      </w:r>
      <w:proofErr w:type="spellStart"/>
      <w:r w:rsidRPr="4739FCB9">
        <w:rPr>
          <w:rFonts w:ascii="Arial" w:hAnsi="Arial" w:cs="Arial"/>
          <w:color w:val="333333"/>
          <w:sz w:val="20"/>
          <w:szCs w:val="20"/>
        </w:rPr>
        <w:t>ohr</w:t>
      </w:r>
      <w:proofErr w:type="spellEnd"/>
      <w:r w:rsidRPr="4739FCB9">
        <w:rPr>
          <w:rFonts w:ascii="Arial" w:hAnsi="Arial" w:cs="Arial"/>
          <w:color w:val="333333"/>
          <w:sz w:val="20"/>
          <w:szCs w:val="20"/>
        </w:rPr>
        <w:t>.</w:t>
      </w:r>
    </w:p>
    <w:p w14:paraId="2755F07F" w14:textId="136AECF0"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Key resources mentioned in the session:</w:t>
      </w:r>
    </w:p>
    <w:tbl>
      <w:tblPr>
        <w:tblStyle w:val="TableGrid"/>
        <w:tblW w:w="5000" w:type="pct"/>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4195"/>
        <w:gridCol w:w="5875"/>
      </w:tblGrid>
      <w:tr w:rsidR="00827A38" w14:paraId="06C64D9F" w14:textId="77777777" w:rsidTr="00873B67">
        <w:trPr>
          <w:tblHeader/>
        </w:trPr>
        <w:tc>
          <w:tcPr>
            <w:tcW w:w="4200" w:type="dxa"/>
            <w:shd w:val="clear" w:color="003594" w:fill="003594"/>
            <w:tcMar>
              <w:top w:w="60" w:type="dxa"/>
              <w:left w:w="120" w:type="dxa"/>
              <w:bottom w:w="60" w:type="dxa"/>
              <w:right w:w="120" w:type="dxa"/>
            </w:tcMar>
            <w:vAlign w:val="center"/>
          </w:tcPr>
          <w:p w14:paraId="26F8125A" w14:textId="77777777" w:rsidR="00827A38" w:rsidRPr="00873B67" w:rsidRDefault="00827A38" w:rsidP="00873B67">
            <w:pPr>
              <w:spacing w:before="60" w:after="60" w:line="270" w:lineRule="atLeast"/>
              <w:rPr>
                <w:rFonts w:ascii="Arial" w:hAnsi="Arial" w:cs="Arial"/>
                <w:b/>
                <w:color w:val="FFFFFF"/>
                <w:sz w:val="19"/>
              </w:rPr>
            </w:pPr>
            <w:r w:rsidRPr="00873B67">
              <w:rPr>
                <w:rFonts w:ascii="Arial" w:hAnsi="Arial" w:cs="Arial"/>
                <w:b/>
                <w:color w:val="FFFFFF"/>
                <w:sz w:val="19"/>
              </w:rPr>
              <w:t>Resource</w:t>
            </w:r>
          </w:p>
        </w:tc>
        <w:tc>
          <w:tcPr>
            <w:tcW w:w="5880" w:type="dxa"/>
            <w:shd w:val="clear" w:color="003594" w:fill="003594"/>
            <w:tcMar>
              <w:top w:w="60" w:type="dxa"/>
              <w:left w:w="120" w:type="dxa"/>
              <w:bottom w:w="60" w:type="dxa"/>
              <w:right w:w="120" w:type="dxa"/>
            </w:tcMar>
            <w:vAlign w:val="center"/>
          </w:tcPr>
          <w:p w14:paraId="15E4D4D9" w14:textId="77777777" w:rsidR="00827A38" w:rsidRPr="00873B67" w:rsidRDefault="00827A38" w:rsidP="00873B67">
            <w:pPr>
              <w:spacing w:before="60" w:after="60" w:line="270" w:lineRule="atLeast"/>
              <w:rPr>
                <w:rFonts w:ascii="Arial" w:hAnsi="Arial" w:cs="Arial"/>
                <w:b/>
                <w:color w:val="FFFFFF"/>
                <w:sz w:val="19"/>
              </w:rPr>
            </w:pPr>
            <w:r w:rsidRPr="00873B67">
              <w:rPr>
                <w:rFonts w:ascii="Arial" w:hAnsi="Arial" w:cs="Arial"/>
                <w:b/>
                <w:color w:val="FFFFFF"/>
                <w:sz w:val="19"/>
              </w:rPr>
              <w:t>Link</w:t>
            </w:r>
          </w:p>
        </w:tc>
      </w:tr>
      <w:tr w:rsidR="00827A38" w14:paraId="3A237FFC" w14:textId="77777777" w:rsidTr="00873B67">
        <w:tc>
          <w:tcPr>
            <w:tcW w:w="4200" w:type="dxa"/>
            <w:shd w:val="clear" w:color="D6E4F7" w:fill="D6E4F7"/>
            <w:tcMar>
              <w:top w:w="60" w:type="dxa"/>
              <w:left w:w="120" w:type="dxa"/>
              <w:bottom w:w="60" w:type="dxa"/>
              <w:right w:w="120" w:type="dxa"/>
            </w:tcMar>
          </w:tcPr>
          <w:p w14:paraId="009C7680"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Retirement Readiness page</w:t>
            </w:r>
          </w:p>
        </w:tc>
        <w:tc>
          <w:tcPr>
            <w:tcW w:w="5880" w:type="dxa"/>
            <w:shd w:val="clear" w:color="FFFFFF" w:fill="FFFFFF"/>
            <w:tcMar>
              <w:top w:w="60" w:type="dxa"/>
              <w:left w:w="120" w:type="dxa"/>
              <w:bottom w:w="60" w:type="dxa"/>
              <w:right w:w="120" w:type="dxa"/>
            </w:tcMar>
          </w:tcPr>
          <w:p w14:paraId="0D7AC6A6"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hr.pitt.edu/retirement-readiness</w:t>
            </w:r>
          </w:p>
        </w:tc>
      </w:tr>
      <w:tr w:rsidR="00827A38" w14:paraId="5E2A8DEC" w14:textId="77777777" w:rsidTr="00873B67">
        <w:tc>
          <w:tcPr>
            <w:tcW w:w="4200" w:type="dxa"/>
            <w:shd w:val="clear" w:color="D6E4F7" w:fill="D6E4F7"/>
            <w:tcMar>
              <w:top w:w="60" w:type="dxa"/>
              <w:left w:w="120" w:type="dxa"/>
              <w:bottom w:w="60" w:type="dxa"/>
              <w:right w:w="120" w:type="dxa"/>
            </w:tcMar>
          </w:tcPr>
          <w:p w14:paraId="7EF1B5EE"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Retiree Benefits</w:t>
            </w:r>
          </w:p>
        </w:tc>
        <w:tc>
          <w:tcPr>
            <w:tcW w:w="5880" w:type="dxa"/>
            <w:shd w:val="clear" w:color="FFFFFF" w:fill="FFFFFF"/>
            <w:tcMar>
              <w:top w:w="60" w:type="dxa"/>
              <w:left w:w="120" w:type="dxa"/>
              <w:bottom w:w="60" w:type="dxa"/>
              <w:right w:w="120" w:type="dxa"/>
            </w:tcMar>
          </w:tcPr>
          <w:p w14:paraId="19DD69A5"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hr.pitt.edu/current-employees/benefits</w:t>
            </w:r>
          </w:p>
        </w:tc>
      </w:tr>
      <w:tr w:rsidR="00827A38" w14:paraId="5BB3E386" w14:textId="77777777" w:rsidTr="00873B67">
        <w:tc>
          <w:tcPr>
            <w:tcW w:w="4200" w:type="dxa"/>
            <w:shd w:val="clear" w:color="D6E4F7" w:fill="D6E4F7"/>
            <w:tcMar>
              <w:top w:w="60" w:type="dxa"/>
              <w:left w:w="120" w:type="dxa"/>
              <w:bottom w:w="60" w:type="dxa"/>
              <w:right w:w="120" w:type="dxa"/>
            </w:tcMar>
          </w:tcPr>
          <w:p w14:paraId="21936C4E"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OHR Benefits Contact</w:t>
            </w:r>
          </w:p>
        </w:tc>
        <w:tc>
          <w:tcPr>
            <w:tcW w:w="5880" w:type="dxa"/>
            <w:shd w:val="clear" w:color="FFFFFF" w:fill="FFFFFF"/>
            <w:tcMar>
              <w:top w:w="60" w:type="dxa"/>
              <w:left w:w="120" w:type="dxa"/>
              <w:bottom w:w="60" w:type="dxa"/>
              <w:right w:w="120" w:type="dxa"/>
            </w:tcMar>
          </w:tcPr>
          <w:p w14:paraId="2FAEB072"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hr.pitt.edu/contact-</w:t>
            </w:r>
            <w:proofErr w:type="spellStart"/>
            <w:r w:rsidRPr="00873B67">
              <w:rPr>
                <w:rFonts w:ascii="Arial" w:hAnsi="Arial" w:cs="Arial"/>
                <w:color w:val="333333"/>
                <w:sz w:val="19"/>
              </w:rPr>
              <w:t>ohr</w:t>
            </w:r>
            <w:proofErr w:type="spellEnd"/>
          </w:p>
        </w:tc>
      </w:tr>
      <w:tr w:rsidR="00827A38" w14:paraId="71AC3B6D" w14:textId="77777777" w:rsidTr="00873B67">
        <w:tc>
          <w:tcPr>
            <w:tcW w:w="4200" w:type="dxa"/>
            <w:shd w:val="clear" w:color="D6E4F7" w:fill="D6E4F7"/>
            <w:tcMar>
              <w:top w:w="60" w:type="dxa"/>
              <w:left w:w="120" w:type="dxa"/>
              <w:bottom w:w="60" w:type="dxa"/>
              <w:right w:w="120" w:type="dxa"/>
            </w:tcMar>
          </w:tcPr>
          <w:p w14:paraId="1F2C6AEA"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Pitt Jobs &amp; Temp Work</w:t>
            </w:r>
          </w:p>
        </w:tc>
        <w:tc>
          <w:tcPr>
            <w:tcW w:w="5880" w:type="dxa"/>
            <w:shd w:val="clear" w:color="FFFFFF" w:fill="FFFFFF"/>
            <w:tcMar>
              <w:top w:w="60" w:type="dxa"/>
              <w:left w:w="120" w:type="dxa"/>
              <w:bottom w:w="60" w:type="dxa"/>
              <w:right w:w="120" w:type="dxa"/>
            </w:tcMar>
          </w:tcPr>
          <w:p w14:paraId="060E67AE"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hr.pitt.edu/careers-pitt</w:t>
            </w:r>
          </w:p>
        </w:tc>
      </w:tr>
      <w:tr w:rsidR="00827A38" w14:paraId="762C6E78" w14:textId="77777777" w:rsidTr="00873B67">
        <w:tc>
          <w:tcPr>
            <w:tcW w:w="4200" w:type="dxa"/>
            <w:shd w:val="clear" w:color="D6E4F7" w:fill="D6E4F7"/>
            <w:tcMar>
              <w:top w:w="60" w:type="dxa"/>
              <w:left w:w="120" w:type="dxa"/>
              <w:bottom w:w="60" w:type="dxa"/>
              <w:right w:w="120" w:type="dxa"/>
            </w:tcMar>
          </w:tcPr>
          <w:p w14:paraId="7770ADCB"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OLLI at Pitt</w:t>
            </w:r>
          </w:p>
        </w:tc>
        <w:tc>
          <w:tcPr>
            <w:tcW w:w="5880" w:type="dxa"/>
            <w:shd w:val="clear" w:color="FFFFFF" w:fill="FFFFFF"/>
            <w:tcMar>
              <w:top w:w="60" w:type="dxa"/>
              <w:left w:w="120" w:type="dxa"/>
              <w:bottom w:w="60" w:type="dxa"/>
              <w:right w:w="120" w:type="dxa"/>
            </w:tcMar>
          </w:tcPr>
          <w:p w14:paraId="38C845D9"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olli.pitt.edu</w:t>
            </w:r>
          </w:p>
        </w:tc>
      </w:tr>
      <w:tr w:rsidR="00827A38" w14:paraId="424E8675" w14:textId="77777777" w:rsidTr="00873B67">
        <w:tc>
          <w:tcPr>
            <w:tcW w:w="4200" w:type="dxa"/>
            <w:shd w:val="clear" w:color="D6E4F7" w:fill="D6E4F7"/>
            <w:tcMar>
              <w:top w:w="60" w:type="dxa"/>
              <w:left w:w="120" w:type="dxa"/>
              <w:bottom w:w="60" w:type="dxa"/>
              <w:right w:w="120" w:type="dxa"/>
            </w:tcMar>
          </w:tcPr>
          <w:p w14:paraId="2196ED3A"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Alumni Continuing Education</w:t>
            </w:r>
          </w:p>
        </w:tc>
        <w:tc>
          <w:tcPr>
            <w:tcW w:w="5880" w:type="dxa"/>
            <w:shd w:val="clear" w:color="FFFFFF" w:fill="FFFFFF"/>
            <w:tcMar>
              <w:top w:w="60" w:type="dxa"/>
              <w:left w:w="120" w:type="dxa"/>
              <w:bottom w:w="60" w:type="dxa"/>
              <w:right w:w="120" w:type="dxa"/>
            </w:tcMar>
          </w:tcPr>
          <w:p w14:paraId="361798D2"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alumni.pitt.edu</w:t>
            </w:r>
          </w:p>
        </w:tc>
      </w:tr>
      <w:tr w:rsidR="00827A38" w14:paraId="41375C4F" w14:textId="77777777" w:rsidTr="00873B67">
        <w:tc>
          <w:tcPr>
            <w:tcW w:w="4200" w:type="dxa"/>
            <w:shd w:val="clear" w:color="D6E4F7" w:fill="D6E4F7"/>
            <w:tcMar>
              <w:top w:w="60" w:type="dxa"/>
              <w:left w:w="120" w:type="dxa"/>
              <w:bottom w:w="60" w:type="dxa"/>
              <w:right w:w="120" w:type="dxa"/>
            </w:tcMar>
          </w:tcPr>
          <w:p w14:paraId="59890BFF"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Travel Resources</w:t>
            </w:r>
          </w:p>
        </w:tc>
        <w:tc>
          <w:tcPr>
            <w:tcW w:w="5880" w:type="dxa"/>
            <w:shd w:val="clear" w:color="FFFFFF" w:fill="FFFFFF"/>
            <w:tcMar>
              <w:top w:w="60" w:type="dxa"/>
              <w:left w:w="120" w:type="dxa"/>
              <w:bottom w:w="60" w:type="dxa"/>
              <w:right w:w="120" w:type="dxa"/>
            </w:tcMar>
          </w:tcPr>
          <w:p w14:paraId="799E1923"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ppt.pitt.edu</w:t>
            </w:r>
          </w:p>
        </w:tc>
      </w:tr>
      <w:tr w:rsidR="00827A38" w14:paraId="642BF7CA" w14:textId="77777777" w:rsidTr="00873B67">
        <w:tc>
          <w:tcPr>
            <w:tcW w:w="4200" w:type="dxa"/>
            <w:shd w:val="clear" w:color="D6E4F7" w:fill="D6E4F7"/>
            <w:tcMar>
              <w:top w:w="60" w:type="dxa"/>
              <w:left w:w="120" w:type="dxa"/>
              <w:bottom w:w="60" w:type="dxa"/>
              <w:right w:w="120" w:type="dxa"/>
            </w:tcMar>
          </w:tcPr>
          <w:p w14:paraId="03DD21A3"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Linguistics Department</w:t>
            </w:r>
          </w:p>
        </w:tc>
        <w:tc>
          <w:tcPr>
            <w:tcW w:w="5880" w:type="dxa"/>
            <w:shd w:val="clear" w:color="FFFFFF" w:fill="FFFFFF"/>
            <w:tcMar>
              <w:top w:w="60" w:type="dxa"/>
              <w:left w:w="120" w:type="dxa"/>
              <w:bottom w:w="60" w:type="dxa"/>
              <w:right w:w="120" w:type="dxa"/>
            </w:tcMar>
          </w:tcPr>
          <w:p w14:paraId="55602302"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linguistics.pitt.edu</w:t>
            </w:r>
          </w:p>
        </w:tc>
      </w:tr>
      <w:tr w:rsidR="00827A38" w14:paraId="7CFA7E66" w14:textId="77777777" w:rsidTr="00873B67">
        <w:tc>
          <w:tcPr>
            <w:tcW w:w="4200" w:type="dxa"/>
            <w:shd w:val="clear" w:color="D6E4F7" w:fill="D6E4F7"/>
            <w:tcMar>
              <w:top w:w="60" w:type="dxa"/>
              <w:left w:w="120" w:type="dxa"/>
              <w:bottom w:w="60" w:type="dxa"/>
              <w:right w:w="120" w:type="dxa"/>
            </w:tcMar>
          </w:tcPr>
          <w:p w14:paraId="05CDE816"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Library System</w:t>
            </w:r>
          </w:p>
        </w:tc>
        <w:tc>
          <w:tcPr>
            <w:tcW w:w="5880" w:type="dxa"/>
            <w:shd w:val="clear" w:color="FFFFFF" w:fill="FFFFFF"/>
            <w:tcMar>
              <w:top w:w="60" w:type="dxa"/>
              <w:left w:w="120" w:type="dxa"/>
              <w:bottom w:w="60" w:type="dxa"/>
              <w:right w:w="120" w:type="dxa"/>
            </w:tcMar>
          </w:tcPr>
          <w:p w14:paraId="474D5674"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library.pitt.edu</w:t>
            </w:r>
          </w:p>
        </w:tc>
      </w:tr>
      <w:tr w:rsidR="00827A38" w14:paraId="06D81157" w14:textId="77777777" w:rsidTr="00873B67">
        <w:tc>
          <w:tcPr>
            <w:tcW w:w="4200" w:type="dxa"/>
            <w:shd w:val="clear" w:color="D6E4F7" w:fill="D6E4F7"/>
            <w:tcMar>
              <w:top w:w="60" w:type="dxa"/>
              <w:left w:w="120" w:type="dxa"/>
              <w:bottom w:w="60" w:type="dxa"/>
              <w:right w:w="120" w:type="dxa"/>
            </w:tcMar>
          </w:tcPr>
          <w:p w14:paraId="30CFFC3A"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lastRenderedPageBreak/>
              <w:t>Writing Program</w:t>
            </w:r>
          </w:p>
        </w:tc>
        <w:tc>
          <w:tcPr>
            <w:tcW w:w="5880" w:type="dxa"/>
            <w:shd w:val="clear" w:color="FFFFFF" w:fill="FFFFFF"/>
            <w:tcMar>
              <w:top w:w="60" w:type="dxa"/>
              <w:left w:w="120" w:type="dxa"/>
              <w:bottom w:w="60" w:type="dxa"/>
              <w:right w:w="120" w:type="dxa"/>
            </w:tcMar>
          </w:tcPr>
          <w:p w14:paraId="360C0993"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writing.pitt.edu</w:t>
            </w:r>
          </w:p>
        </w:tc>
      </w:tr>
      <w:tr w:rsidR="00827A38" w14:paraId="2B35023E" w14:textId="77777777" w:rsidTr="00873B67">
        <w:tc>
          <w:tcPr>
            <w:tcW w:w="4200" w:type="dxa"/>
            <w:shd w:val="clear" w:color="D6E4F7" w:fill="D6E4F7"/>
            <w:tcMar>
              <w:top w:w="60" w:type="dxa"/>
              <w:left w:w="120" w:type="dxa"/>
              <w:bottom w:w="60" w:type="dxa"/>
              <w:right w:w="120" w:type="dxa"/>
            </w:tcMar>
          </w:tcPr>
          <w:p w14:paraId="2A1DEE47"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Craft Center &amp; Journaling Workshops</w:t>
            </w:r>
          </w:p>
        </w:tc>
        <w:tc>
          <w:tcPr>
            <w:tcW w:w="5880" w:type="dxa"/>
            <w:shd w:val="clear" w:color="FFFFFF" w:fill="FFFFFF"/>
            <w:tcMar>
              <w:top w:w="60" w:type="dxa"/>
              <w:left w:w="120" w:type="dxa"/>
              <w:bottom w:w="60" w:type="dxa"/>
              <w:right w:w="120" w:type="dxa"/>
            </w:tcMar>
          </w:tcPr>
          <w:p w14:paraId="594AF20F"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creative.pitt.edu</w:t>
            </w:r>
          </w:p>
        </w:tc>
      </w:tr>
      <w:tr w:rsidR="00827A38" w14:paraId="1899B936" w14:textId="77777777" w:rsidTr="00873B67">
        <w:tc>
          <w:tcPr>
            <w:tcW w:w="4200" w:type="dxa"/>
            <w:shd w:val="clear" w:color="D6E4F7" w:fill="D6E4F7"/>
            <w:tcMar>
              <w:top w:w="60" w:type="dxa"/>
              <w:left w:w="120" w:type="dxa"/>
              <w:bottom w:w="60" w:type="dxa"/>
              <w:right w:w="120" w:type="dxa"/>
            </w:tcMar>
          </w:tcPr>
          <w:p w14:paraId="2BA3C15E"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Events &amp; Screenings</w:t>
            </w:r>
          </w:p>
        </w:tc>
        <w:tc>
          <w:tcPr>
            <w:tcW w:w="5880" w:type="dxa"/>
            <w:shd w:val="clear" w:color="FFFFFF" w:fill="FFFFFF"/>
            <w:tcMar>
              <w:top w:w="60" w:type="dxa"/>
              <w:left w:w="120" w:type="dxa"/>
              <w:bottom w:w="60" w:type="dxa"/>
              <w:right w:w="120" w:type="dxa"/>
            </w:tcMar>
          </w:tcPr>
          <w:p w14:paraId="443DF982"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calendar.pitt.edu</w:t>
            </w:r>
          </w:p>
        </w:tc>
      </w:tr>
      <w:tr w:rsidR="00827A38" w14:paraId="68FBF84F" w14:textId="77777777" w:rsidTr="00873B67">
        <w:tc>
          <w:tcPr>
            <w:tcW w:w="4200" w:type="dxa"/>
            <w:shd w:val="clear" w:color="D6E4F7" w:fill="D6E4F7"/>
            <w:tcMar>
              <w:top w:w="60" w:type="dxa"/>
              <w:left w:w="120" w:type="dxa"/>
              <w:bottom w:w="60" w:type="dxa"/>
              <w:right w:w="120" w:type="dxa"/>
            </w:tcMar>
          </w:tcPr>
          <w:p w14:paraId="5C62FCF2"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Campus Recreation</w:t>
            </w:r>
          </w:p>
        </w:tc>
        <w:tc>
          <w:tcPr>
            <w:tcW w:w="5880" w:type="dxa"/>
            <w:shd w:val="clear" w:color="FFFFFF" w:fill="FFFFFF"/>
            <w:tcMar>
              <w:top w:w="60" w:type="dxa"/>
              <w:left w:w="120" w:type="dxa"/>
              <w:bottom w:w="60" w:type="dxa"/>
              <w:right w:w="120" w:type="dxa"/>
            </w:tcMar>
          </w:tcPr>
          <w:p w14:paraId="5C8EAFD2"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reccenter.pitt.edu</w:t>
            </w:r>
          </w:p>
        </w:tc>
      </w:tr>
      <w:tr w:rsidR="00827A38" w14:paraId="609DB127" w14:textId="77777777" w:rsidTr="00873B67">
        <w:tc>
          <w:tcPr>
            <w:tcW w:w="4200" w:type="dxa"/>
            <w:shd w:val="clear" w:color="D6E4F7" w:fill="D6E4F7"/>
            <w:tcMar>
              <w:top w:w="60" w:type="dxa"/>
              <w:left w:w="120" w:type="dxa"/>
              <w:bottom w:w="60" w:type="dxa"/>
              <w:right w:w="120" w:type="dxa"/>
            </w:tcMar>
          </w:tcPr>
          <w:p w14:paraId="2571D38E" w14:textId="77777777" w:rsidR="00827A38" w:rsidRPr="00873B67" w:rsidRDefault="00827A38" w:rsidP="00873B67">
            <w:pPr>
              <w:spacing w:before="60" w:after="60" w:line="270" w:lineRule="atLeast"/>
              <w:rPr>
                <w:rFonts w:ascii="Arial" w:hAnsi="Arial" w:cs="Arial"/>
                <w:b/>
                <w:color w:val="003594"/>
                <w:sz w:val="19"/>
              </w:rPr>
            </w:pPr>
            <w:proofErr w:type="spellStart"/>
            <w:r w:rsidRPr="00873B67">
              <w:rPr>
                <w:rFonts w:ascii="Arial" w:hAnsi="Arial" w:cs="Arial"/>
                <w:b/>
                <w:color w:val="003594"/>
                <w:sz w:val="19"/>
              </w:rPr>
              <w:t>SilverSneakers</w:t>
            </w:r>
            <w:proofErr w:type="spellEnd"/>
          </w:p>
        </w:tc>
        <w:tc>
          <w:tcPr>
            <w:tcW w:w="5880" w:type="dxa"/>
            <w:shd w:val="clear" w:color="FFFFFF" w:fill="FFFFFF"/>
            <w:tcMar>
              <w:top w:w="60" w:type="dxa"/>
              <w:left w:w="120" w:type="dxa"/>
              <w:bottom w:w="60" w:type="dxa"/>
              <w:right w:w="120" w:type="dxa"/>
            </w:tcMar>
          </w:tcPr>
          <w:p w14:paraId="1ACDB4CC"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tools.silversneakers.com</w:t>
            </w:r>
          </w:p>
        </w:tc>
      </w:tr>
      <w:tr w:rsidR="00827A38" w14:paraId="017C6003" w14:textId="77777777" w:rsidTr="00873B67">
        <w:tc>
          <w:tcPr>
            <w:tcW w:w="4200" w:type="dxa"/>
            <w:shd w:val="clear" w:color="D6E4F7" w:fill="D6E4F7"/>
            <w:tcMar>
              <w:top w:w="60" w:type="dxa"/>
              <w:left w:w="120" w:type="dxa"/>
              <w:bottom w:w="60" w:type="dxa"/>
              <w:right w:w="120" w:type="dxa"/>
            </w:tcMar>
          </w:tcPr>
          <w:p w14:paraId="1CA2041B"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Green Garden Project</w:t>
            </w:r>
          </w:p>
        </w:tc>
        <w:tc>
          <w:tcPr>
            <w:tcW w:w="5880" w:type="dxa"/>
            <w:shd w:val="clear" w:color="FFFFFF" w:fill="FFFFFF"/>
            <w:tcMar>
              <w:top w:w="60" w:type="dxa"/>
              <w:left w:w="120" w:type="dxa"/>
              <w:bottom w:w="60" w:type="dxa"/>
              <w:right w:w="120" w:type="dxa"/>
            </w:tcMar>
          </w:tcPr>
          <w:p w14:paraId="0E84389C"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sustainable.pitt.edu</w:t>
            </w:r>
          </w:p>
        </w:tc>
      </w:tr>
      <w:tr w:rsidR="00827A38" w14:paraId="672052FE" w14:textId="77777777" w:rsidTr="00873B67">
        <w:tc>
          <w:tcPr>
            <w:tcW w:w="4200" w:type="dxa"/>
            <w:shd w:val="clear" w:color="D6E4F7" w:fill="D6E4F7"/>
            <w:tcMar>
              <w:top w:w="60" w:type="dxa"/>
              <w:left w:w="120" w:type="dxa"/>
              <w:bottom w:w="60" w:type="dxa"/>
              <w:right w:w="120" w:type="dxa"/>
            </w:tcMar>
          </w:tcPr>
          <w:p w14:paraId="1B7C146E"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Mentoring at Pitt</w:t>
            </w:r>
          </w:p>
        </w:tc>
        <w:tc>
          <w:tcPr>
            <w:tcW w:w="5880" w:type="dxa"/>
            <w:shd w:val="clear" w:color="FFFFFF" w:fill="FFFFFF"/>
            <w:tcMar>
              <w:top w:w="60" w:type="dxa"/>
              <w:left w:w="120" w:type="dxa"/>
              <w:bottom w:w="60" w:type="dxa"/>
              <w:right w:w="120" w:type="dxa"/>
            </w:tcMar>
          </w:tcPr>
          <w:p w14:paraId="0228826D"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teaching.pitt.edu/center-for-mentoring</w:t>
            </w:r>
          </w:p>
        </w:tc>
      </w:tr>
      <w:tr w:rsidR="00827A38" w14:paraId="3B27FE6C" w14:textId="77777777" w:rsidTr="00873B67">
        <w:tc>
          <w:tcPr>
            <w:tcW w:w="4200" w:type="dxa"/>
            <w:shd w:val="clear" w:color="D6E4F7" w:fill="D6E4F7"/>
            <w:tcMar>
              <w:top w:w="60" w:type="dxa"/>
              <w:left w:w="120" w:type="dxa"/>
              <w:bottom w:w="60" w:type="dxa"/>
              <w:right w:w="120" w:type="dxa"/>
            </w:tcMar>
          </w:tcPr>
          <w:p w14:paraId="5E1CD618"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Pitt Commons</w:t>
            </w:r>
          </w:p>
        </w:tc>
        <w:tc>
          <w:tcPr>
            <w:tcW w:w="5880" w:type="dxa"/>
            <w:shd w:val="clear" w:color="FFFFFF" w:fill="FFFFFF"/>
            <w:tcMar>
              <w:top w:w="60" w:type="dxa"/>
              <w:left w:w="120" w:type="dxa"/>
              <w:bottom w:w="60" w:type="dxa"/>
              <w:right w:w="120" w:type="dxa"/>
            </w:tcMar>
          </w:tcPr>
          <w:p w14:paraId="134E3A87"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commons.pitt.edu</w:t>
            </w:r>
          </w:p>
        </w:tc>
      </w:tr>
      <w:tr w:rsidR="00827A38" w14:paraId="0BA36086" w14:textId="77777777" w:rsidTr="00873B67">
        <w:tc>
          <w:tcPr>
            <w:tcW w:w="4200" w:type="dxa"/>
            <w:shd w:val="clear" w:color="D6E4F7" w:fill="D6E4F7"/>
            <w:tcMar>
              <w:top w:w="60" w:type="dxa"/>
              <w:left w:w="120" w:type="dxa"/>
              <w:bottom w:w="60" w:type="dxa"/>
              <w:right w:w="120" w:type="dxa"/>
            </w:tcMar>
          </w:tcPr>
          <w:p w14:paraId="0858439D"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Pitt Volunteer Services</w:t>
            </w:r>
          </w:p>
        </w:tc>
        <w:tc>
          <w:tcPr>
            <w:tcW w:w="5880" w:type="dxa"/>
            <w:shd w:val="clear" w:color="FFFFFF" w:fill="FFFFFF"/>
            <w:tcMar>
              <w:top w:w="60" w:type="dxa"/>
              <w:left w:w="120" w:type="dxa"/>
              <w:bottom w:w="60" w:type="dxa"/>
              <w:right w:w="120" w:type="dxa"/>
            </w:tcMar>
          </w:tcPr>
          <w:p w14:paraId="3D26915D"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community.pitt.edu/volunteerism</w:t>
            </w:r>
          </w:p>
        </w:tc>
      </w:tr>
      <w:tr w:rsidR="00827A38" w14:paraId="3DFB20E9" w14:textId="77777777" w:rsidTr="00873B67">
        <w:tc>
          <w:tcPr>
            <w:tcW w:w="4200" w:type="dxa"/>
            <w:shd w:val="clear" w:color="D6E4F7" w:fill="D6E4F7"/>
            <w:tcMar>
              <w:top w:w="60" w:type="dxa"/>
              <w:left w:w="120" w:type="dxa"/>
              <w:bottom w:w="60" w:type="dxa"/>
              <w:right w:w="120" w:type="dxa"/>
            </w:tcMar>
          </w:tcPr>
          <w:p w14:paraId="15BAAFF3" w14:textId="77777777" w:rsidR="00827A38" w:rsidRPr="00873B67" w:rsidRDefault="00827A38" w:rsidP="00873B67">
            <w:pPr>
              <w:spacing w:before="60" w:after="60" w:line="270" w:lineRule="atLeast"/>
              <w:rPr>
                <w:rFonts w:ascii="Arial" w:hAnsi="Arial" w:cs="Arial"/>
                <w:b/>
                <w:color w:val="003594"/>
                <w:sz w:val="19"/>
              </w:rPr>
            </w:pPr>
            <w:proofErr w:type="spellStart"/>
            <w:r w:rsidRPr="00873B67">
              <w:rPr>
                <w:rFonts w:ascii="Arial" w:hAnsi="Arial" w:cs="Arial"/>
                <w:b/>
                <w:color w:val="003594"/>
                <w:sz w:val="19"/>
              </w:rPr>
              <w:t>VolunteerMatch</w:t>
            </w:r>
            <w:proofErr w:type="spellEnd"/>
            <w:r w:rsidRPr="00873B67">
              <w:rPr>
                <w:rFonts w:ascii="Arial" w:hAnsi="Arial" w:cs="Arial"/>
                <w:b/>
                <w:color w:val="003594"/>
                <w:sz w:val="19"/>
              </w:rPr>
              <w:t xml:space="preserve"> / Idealist / Create the Good</w:t>
            </w:r>
          </w:p>
        </w:tc>
        <w:tc>
          <w:tcPr>
            <w:tcW w:w="5880" w:type="dxa"/>
            <w:shd w:val="clear" w:color="FFFFFF" w:fill="FFFFFF"/>
            <w:tcMar>
              <w:top w:w="60" w:type="dxa"/>
              <w:left w:w="120" w:type="dxa"/>
              <w:bottom w:w="60" w:type="dxa"/>
              <w:right w:w="120" w:type="dxa"/>
            </w:tcMar>
          </w:tcPr>
          <w:p w14:paraId="35FCCAC1"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volunteermatch.org / idealist.org / createthegood.org</w:t>
            </w:r>
          </w:p>
        </w:tc>
      </w:tr>
      <w:tr w:rsidR="00827A38" w14:paraId="6B62304E" w14:textId="77777777" w:rsidTr="00873B67">
        <w:tc>
          <w:tcPr>
            <w:tcW w:w="4200" w:type="dxa"/>
            <w:shd w:val="clear" w:color="D6E4F7" w:fill="D6E4F7"/>
            <w:tcMar>
              <w:top w:w="60" w:type="dxa"/>
              <w:left w:w="120" w:type="dxa"/>
              <w:bottom w:w="60" w:type="dxa"/>
              <w:right w:w="120" w:type="dxa"/>
            </w:tcMar>
          </w:tcPr>
          <w:p w14:paraId="662A5978"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211 Community Services</w:t>
            </w:r>
          </w:p>
        </w:tc>
        <w:tc>
          <w:tcPr>
            <w:tcW w:w="5880" w:type="dxa"/>
            <w:shd w:val="clear" w:color="FFFFFF" w:fill="FFFFFF"/>
            <w:tcMar>
              <w:top w:w="60" w:type="dxa"/>
              <w:left w:w="120" w:type="dxa"/>
              <w:bottom w:w="60" w:type="dxa"/>
              <w:right w:w="120" w:type="dxa"/>
            </w:tcMar>
          </w:tcPr>
          <w:p w14:paraId="01B72DBC"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211.org</w:t>
            </w:r>
          </w:p>
        </w:tc>
      </w:tr>
      <w:tr w:rsidR="00827A38" w14:paraId="4D6818DA" w14:textId="77777777" w:rsidTr="00873B67">
        <w:tc>
          <w:tcPr>
            <w:tcW w:w="4200" w:type="dxa"/>
            <w:shd w:val="clear" w:color="D6E4F7" w:fill="D6E4F7"/>
            <w:tcMar>
              <w:top w:w="60" w:type="dxa"/>
              <w:left w:w="120" w:type="dxa"/>
              <w:bottom w:w="60" w:type="dxa"/>
              <w:right w:w="120" w:type="dxa"/>
            </w:tcMar>
          </w:tcPr>
          <w:p w14:paraId="30E40438" w14:textId="77777777" w:rsidR="00827A38" w:rsidRPr="00873B67" w:rsidRDefault="00827A38" w:rsidP="00873B67">
            <w:pPr>
              <w:spacing w:before="60" w:after="60" w:line="270" w:lineRule="atLeast"/>
              <w:rPr>
                <w:rFonts w:ascii="Arial" w:hAnsi="Arial" w:cs="Arial"/>
                <w:b/>
                <w:color w:val="003594"/>
                <w:sz w:val="19"/>
              </w:rPr>
            </w:pPr>
            <w:r w:rsidRPr="00873B67">
              <w:rPr>
                <w:rFonts w:ascii="Arial" w:hAnsi="Arial" w:cs="Arial"/>
                <w:b/>
                <w:color w:val="003594"/>
                <w:sz w:val="19"/>
              </w:rPr>
              <w:t>SCORE / AARP Experience Corps / AmeriCorps Seniors</w:t>
            </w:r>
          </w:p>
        </w:tc>
        <w:tc>
          <w:tcPr>
            <w:tcW w:w="5880" w:type="dxa"/>
            <w:shd w:val="clear" w:color="FFFFFF" w:fill="FFFFFF"/>
            <w:tcMar>
              <w:top w:w="60" w:type="dxa"/>
              <w:left w:w="120" w:type="dxa"/>
              <w:bottom w:w="60" w:type="dxa"/>
              <w:right w:w="120" w:type="dxa"/>
            </w:tcMar>
          </w:tcPr>
          <w:p w14:paraId="3682A7B2" w14:textId="77777777" w:rsidR="00827A38" w:rsidRPr="00873B67" w:rsidRDefault="00827A38" w:rsidP="00873B67">
            <w:pPr>
              <w:spacing w:before="60" w:after="60" w:line="270" w:lineRule="atLeast"/>
              <w:rPr>
                <w:rFonts w:ascii="Arial" w:hAnsi="Arial" w:cs="Arial"/>
                <w:color w:val="333333"/>
                <w:sz w:val="19"/>
              </w:rPr>
            </w:pPr>
            <w:r w:rsidRPr="00873B67">
              <w:rPr>
                <w:rFonts w:ascii="Arial" w:hAnsi="Arial" w:cs="Arial"/>
                <w:color w:val="333333"/>
                <w:sz w:val="19"/>
              </w:rPr>
              <w:t>score.org / aarp.org/experience-corps / americorps.gov/seniors</w:t>
            </w:r>
          </w:p>
        </w:tc>
      </w:tr>
    </w:tbl>
    <w:p w14:paraId="2D8E3E16" w14:textId="0CF45F92" w:rsidR="00827A38" w:rsidRPr="00873B67" w:rsidRDefault="00827A38" w:rsidP="4739FCB9">
      <w:pPr>
        <w:spacing w:before="160" w:after="60" w:line="270" w:lineRule="atLeast"/>
        <w:rPr>
          <w:rFonts w:ascii="Arial" w:hAnsi="Arial" w:cs="Arial"/>
          <w:color w:val="555555"/>
          <w:sz w:val="18"/>
          <w:szCs w:val="18"/>
        </w:rPr>
      </w:pPr>
      <w:r w:rsidRPr="4739FCB9">
        <w:rPr>
          <w:rFonts w:ascii="Arial" w:hAnsi="Arial" w:cs="Arial"/>
          <w:color w:val="555555"/>
          <w:sz w:val="18"/>
          <w:szCs w:val="18"/>
        </w:rPr>
        <w:t xml:space="preserve">The OHR Retiree webpage also covers the Steps Toward Retirement Checklist, retiree eligibility, Pre-65 and </w:t>
      </w:r>
      <w:proofErr w:type="gramStart"/>
      <w:r w:rsidRPr="4739FCB9">
        <w:rPr>
          <w:rFonts w:ascii="Arial" w:hAnsi="Arial" w:cs="Arial"/>
          <w:color w:val="555555"/>
          <w:sz w:val="18"/>
          <w:szCs w:val="18"/>
        </w:rPr>
        <w:t>Post-65</w:t>
      </w:r>
      <w:proofErr w:type="gramEnd"/>
      <w:r w:rsidRPr="4739FCB9">
        <w:rPr>
          <w:rFonts w:ascii="Arial" w:hAnsi="Arial" w:cs="Arial"/>
          <w:color w:val="555555"/>
          <w:sz w:val="18"/>
          <w:szCs w:val="18"/>
        </w:rPr>
        <w:t xml:space="preserve"> coverage, the Defined Dollar Benefit Program, the Defined Contribution Plan (TIAA), the Defined Benefit Pension Plan, and other helpful tools.</w:t>
      </w:r>
    </w:p>
    <w:p w14:paraId="44F09221" w14:textId="61CE2F9A" w:rsidR="00827A38" w:rsidRPr="00873B67" w:rsidRDefault="00827A38" w:rsidP="4739FCB9">
      <w:pPr>
        <w:pStyle w:val="Heading2"/>
        <w:spacing w:before="280"/>
        <w:rPr>
          <w:rFonts w:ascii="Arial" w:hAnsi="Arial" w:cs="Arial"/>
          <w:b/>
          <w:bCs/>
          <w:color w:val="003594"/>
          <w:sz w:val="24"/>
          <w:szCs w:val="24"/>
        </w:rPr>
      </w:pPr>
      <w:r w:rsidRPr="4739FCB9">
        <w:rPr>
          <w:rFonts w:ascii="Arial" w:hAnsi="Arial" w:cs="Arial"/>
          <w:b/>
          <w:bCs/>
          <w:color w:val="003594"/>
          <w:sz w:val="24"/>
          <w:szCs w:val="24"/>
        </w:rPr>
        <w:t>Disclosure</w:t>
      </w:r>
    </w:p>
    <w:p w14:paraId="5C22E868" w14:textId="07F4659E" w:rsidR="00827A38" w:rsidRPr="00873B67" w:rsidRDefault="00827A38" w:rsidP="4739FCB9">
      <w:pPr>
        <w:spacing w:before="60" w:after="60" w:line="270" w:lineRule="atLeast"/>
        <w:rPr>
          <w:rFonts w:ascii="Arial" w:hAnsi="Arial" w:cs="Arial"/>
          <w:color w:val="333333"/>
          <w:sz w:val="20"/>
          <w:szCs w:val="20"/>
        </w:rPr>
      </w:pPr>
      <w:r w:rsidRPr="4739FCB9">
        <w:rPr>
          <w:rFonts w:ascii="Arial" w:hAnsi="Arial" w:cs="Arial"/>
          <w:color w:val="333333"/>
          <w:sz w:val="20"/>
          <w:szCs w:val="20"/>
        </w:rPr>
        <w:t xml:space="preserve">This guide is intended solely for general educational and informational purposes. It does not replace or override any official plan documents, University policies, established procedures, or contracts with insurance carriers. If there </w:t>
      </w:r>
      <w:proofErr w:type="gramStart"/>
      <w:r w:rsidRPr="4739FCB9">
        <w:rPr>
          <w:rFonts w:ascii="Arial" w:hAnsi="Arial" w:cs="Arial"/>
          <w:color w:val="333333"/>
          <w:sz w:val="20"/>
          <w:szCs w:val="20"/>
        </w:rPr>
        <w:t>is</w:t>
      </w:r>
      <w:proofErr w:type="gramEnd"/>
      <w:r w:rsidRPr="4739FCB9">
        <w:rPr>
          <w:rFonts w:ascii="Arial" w:hAnsi="Arial" w:cs="Arial"/>
          <w:color w:val="333333"/>
          <w:sz w:val="20"/>
          <w:szCs w:val="20"/>
        </w:rPr>
        <w:t xml:space="preserve"> any conflict, the official plan documents and contracts govern.</w:t>
      </w:r>
    </w:p>
    <w:p w14:paraId="2EF76A79" w14:textId="39168709" w:rsidR="00AD01C2" w:rsidRPr="00873B67" w:rsidRDefault="00AD01C2" w:rsidP="4739FCB9">
      <w:pPr>
        <w:spacing w:before="60" w:after="60" w:line="250" w:lineRule="auto"/>
        <w:rPr>
          <w:rFonts w:ascii="Arial" w:hAnsi="Arial" w:cs="Arial"/>
          <w:color w:val="333333"/>
          <w:sz w:val="20"/>
          <w:szCs w:val="20"/>
        </w:rPr>
      </w:pPr>
    </w:p>
    <w:sectPr w:rsidR="00AD01C2" w:rsidRPr="00873B67" w:rsidSect="00873B67">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402C4" w14:textId="77777777" w:rsidR="00A70B33" w:rsidRDefault="00A70B33" w:rsidP="00873B67">
      <w:pPr>
        <w:spacing w:after="0" w:line="240" w:lineRule="auto"/>
      </w:pPr>
      <w:r>
        <w:separator/>
      </w:r>
    </w:p>
  </w:endnote>
  <w:endnote w:type="continuationSeparator" w:id="0">
    <w:p w14:paraId="2BB44CA3" w14:textId="77777777" w:rsidR="00A70B33" w:rsidRDefault="00A70B33" w:rsidP="00873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262A3" w14:textId="77777777" w:rsidR="00873B67" w:rsidRDefault="00873B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BDBA" w14:textId="77777777" w:rsidR="00873B67" w:rsidRDefault="00873B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0F481" w14:textId="77777777" w:rsidR="00873B67" w:rsidRDefault="00873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4564E" w14:textId="77777777" w:rsidR="00A70B33" w:rsidRDefault="00A70B33" w:rsidP="00873B67">
      <w:pPr>
        <w:spacing w:after="0" w:line="240" w:lineRule="auto"/>
      </w:pPr>
      <w:r>
        <w:separator/>
      </w:r>
    </w:p>
  </w:footnote>
  <w:footnote w:type="continuationSeparator" w:id="0">
    <w:p w14:paraId="45985403" w14:textId="77777777" w:rsidR="00A70B33" w:rsidRDefault="00A70B33" w:rsidP="00873B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810C" w14:textId="77777777" w:rsidR="00873B67" w:rsidRDefault="00873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DF74" w14:textId="77777777" w:rsidR="00873B67" w:rsidRDefault="00873B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80EEE" w14:textId="77777777" w:rsidR="00873B67" w:rsidRDefault="00873B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0DA114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9EDCF5A8"/>
    <w:lvl w:ilvl="0">
      <w:start w:val="1"/>
      <w:numFmt w:val="bullet"/>
      <w:pStyle w:val="ListBullet"/>
      <w:lvlText w:val=""/>
      <w:lvlJc w:val="left"/>
      <w:pPr>
        <w:tabs>
          <w:tab w:val="num" w:pos="360"/>
        </w:tabs>
        <w:ind w:left="360" w:hanging="360"/>
      </w:pPr>
      <w:rPr>
        <w:rFonts w:ascii="Symbol" w:hAnsi="Symbol" w:hint="default"/>
      </w:rPr>
    </w:lvl>
  </w:abstractNum>
  <w:num w:numId="1" w16cid:durableId="2080445886">
    <w:abstractNumId w:val="1"/>
  </w:num>
  <w:num w:numId="2" w16cid:durableId="196166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B67"/>
    <w:rsid w:val="0023238A"/>
    <w:rsid w:val="003D6BFE"/>
    <w:rsid w:val="00424F50"/>
    <w:rsid w:val="00483C4C"/>
    <w:rsid w:val="005F3A2E"/>
    <w:rsid w:val="006106A8"/>
    <w:rsid w:val="00822DB2"/>
    <w:rsid w:val="00827A38"/>
    <w:rsid w:val="00873B67"/>
    <w:rsid w:val="008F3791"/>
    <w:rsid w:val="009763F2"/>
    <w:rsid w:val="00A70B33"/>
    <w:rsid w:val="00AB21B6"/>
    <w:rsid w:val="00AD01C2"/>
    <w:rsid w:val="00BF02A8"/>
    <w:rsid w:val="00CA1043"/>
    <w:rsid w:val="03A37A02"/>
    <w:rsid w:val="10B65051"/>
    <w:rsid w:val="1B34EB12"/>
    <w:rsid w:val="4739FCB9"/>
    <w:rsid w:val="4C69F2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DB9D2"/>
  <w15:chartTrackingRefBased/>
  <w15:docId w15:val="{C406A33A-9514-4597-93BB-831ADF1F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B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73B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73B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B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B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B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B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B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B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B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73B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73B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B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B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B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B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B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B67"/>
    <w:rPr>
      <w:rFonts w:eastAsiaTheme="majorEastAsia" w:cstheme="majorBidi"/>
      <w:color w:val="272727" w:themeColor="text1" w:themeTint="D8"/>
    </w:rPr>
  </w:style>
  <w:style w:type="paragraph" w:styleId="Title">
    <w:name w:val="Title"/>
    <w:basedOn w:val="Normal"/>
    <w:next w:val="Normal"/>
    <w:link w:val="TitleChar"/>
    <w:uiPriority w:val="10"/>
    <w:qFormat/>
    <w:rsid w:val="00873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B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B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B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B67"/>
    <w:pPr>
      <w:spacing w:before="160"/>
      <w:jc w:val="center"/>
    </w:pPr>
    <w:rPr>
      <w:i/>
      <w:iCs/>
      <w:color w:val="404040" w:themeColor="text1" w:themeTint="BF"/>
    </w:rPr>
  </w:style>
  <w:style w:type="character" w:customStyle="1" w:styleId="QuoteChar">
    <w:name w:val="Quote Char"/>
    <w:basedOn w:val="DefaultParagraphFont"/>
    <w:link w:val="Quote"/>
    <w:uiPriority w:val="29"/>
    <w:rsid w:val="00873B67"/>
    <w:rPr>
      <w:i/>
      <w:iCs/>
      <w:color w:val="404040" w:themeColor="text1" w:themeTint="BF"/>
    </w:rPr>
  </w:style>
  <w:style w:type="paragraph" w:styleId="ListParagraph">
    <w:name w:val="List Paragraph"/>
    <w:basedOn w:val="Normal"/>
    <w:uiPriority w:val="34"/>
    <w:qFormat/>
    <w:rsid w:val="00873B67"/>
    <w:pPr>
      <w:ind w:left="720"/>
      <w:contextualSpacing/>
    </w:pPr>
  </w:style>
  <w:style w:type="character" w:styleId="IntenseEmphasis">
    <w:name w:val="Intense Emphasis"/>
    <w:basedOn w:val="DefaultParagraphFont"/>
    <w:uiPriority w:val="21"/>
    <w:qFormat/>
    <w:rsid w:val="00873B67"/>
    <w:rPr>
      <w:i/>
      <w:iCs/>
      <w:color w:val="0F4761" w:themeColor="accent1" w:themeShade="BF"/>
    </w:rPr>
  </w:style>
  <w:style w:type="paragraph" w:styleId="IntenseQuote">
    <w:name w:val="Intense Quote"/>
    <w:basedOn w:val="Normal"/>
    <w:next w:val="Normal"/>
    <w:link w:val="IntenseQuoteChar"/>
    <w:uiPriority w:val="30"/>
    <w:qFormat/>
    <w:rsid w:val="00873B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B67"/>
    <w:rPr>
      <w:i/>
      <w:iCs/>
      <w:color w:val="0F4761" w:themeColor="accent1" w:themeShade="BF"/>
    </w:rPr>
  </w:style>
  <w:style w:type="character" w:styleId="IntenseReference">
    <w:name w:val="Intense Reference"/>
    <w:basedOn w:val="DefaultParagraphFont"/>
    <w:uiPriority w:val="32"/>
    <w:qFormat/>
    <w:rsid w:val="00873B67"/>
    <w:rPr>
      <w:b/>
      <w:bCs/>
      <w:smallCaps/>
      <w:color w:val="0F4761" w:themeColor="accent1" w:themeShade="BF"/>
      <w:spacing w:val="5"/>
    </w:rPr>
  </w:style>
  <w:style w:type="paragraph" w:styleId="Header">
    <w:name w:val="header"/>
    <w:basedOn w:val="Normal"/>
    <w:link w:val="HeaderChar"/>
    <w:uiPriority w:val="99"/>
    <w:unhideWhenUsed/>
    <w:rsid w:val="00873B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B67"/>
  </w:style>
  <w:style w:type="paragraph" w:styleId="Footer">
    <w:name w:val="footer"/>
    <w:basedOn w:val="Normal"/>
    <w:link w:val="FooterChar"/>
    <w:uiPriority w:val="99"/>
    <w:unhideWhenUsed/>
    <w:rsid w:val="00873B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B67"/>
  </w:style>
  <w:style w:type="paragraph" w:styleId="ListBullet">
    <w:name w:val="List Bullet"/>
    <w:basedOn w:val="Normal"/>
    <w:uiPriority w:val="99"/>
    <w:unhideWhenUsed/>
    <w:rsid w:val="00873B67"/>
    <w:pPr>
      <w:numPr>
        <w:numId w:val="1"/>
      </w:numPr>
      <w:contextualSpacing/>
    </w:pPr>
  </w:style>
  <w:style w:type="table" w:styleId="TableGrid">
    <w:name w:val="Table Grid"/>
    <w:basedOn w:val="TableNormal"/>
    <w:uiPriority w:val="39"/>
    <w:rsid w:val="00873B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873B6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ListNumber">
    <w:name w:val="List Number"/>
    <w:basedOn w:val="Normal"/>
    <w:uiPriority w:val="99"/>
    <w:unhideWhenUsed/>
    <w:rsid w:val="00873B67"/>
    <w:pPr>
      <w:numPr>
        <w:numId w:val="2"/>
      </w:numPr>
      <w:contextualSpacing/>
    </w:pPr>
  </w:style>
  <w:style w:type="paragraph" w:customStyle="1" w:styleId="FAQQuestion">
    <w:name w:val="FAQ Question"/>
    <w:basedOn w:val="Normal"/>
    <w:rsid w:val="00873B67"/>
    <w:pPr>
      <w:keepNext/>
    </w:pPr>
    <w:rPr>
      <w:rFonts w:ascii="Arial" w:hAnsi="Arial" w:cs="Arial"/>
      <w:b/>
      <w:color w:val="333333"/>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 dockstate="right" visibility="1"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D675BF9-6A89-4939-80A1-E0E76DA399F6}">
  <we:reference id="WA200010725" version="1.0.0.1" store="Omex" storeType="OMEX"/>
  <we:alternateReferences>
    <we:reference id="WA200010725" version="1.0.0.1" store="WA200010725" storeType="OMEX"/>
  </we:alternateReferences>
  <we:properties>
    <we:property name="claude.fileId" value="&quot;1d750abc-3a77-4ab4-852f-079fe9898bf2&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8a266413-99bc-4bcf-b4b5-16e4850e36fa">
  <we:reference id="WA200010725" version="1.0.0.1" store="en-us" storeType="omex"/>
  <we:alternateReferences>
    <we:reference id="WA200010725" version="1.0.0.1" store="en-us" storeType="omex"/>
  </we:alternateReferences>
  <we:properties>
    <we:property name="claude.fileId" value="&quot;1d750abc-3a77-4ab4-852f-079fe9898bf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e9b1da4-26b6-4b72-8bac-1602c3581ecc">
      <Terms xmlns="http://schemas.microsoft.com/office/infopath/2007/PartnerControls"/>
    </lcf76f155ced4ddcb4097134ff3c332f>
    <TaxCatchAll xmlns="3e608ed0-5213-4dc3-bbc4-302361dd3390"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C595752E20A64D93E946CD1C4D8FDA" ma:contentTypeVersion="18" ma:contentTypeDescription="Create a new document." ma:contentTypeScope="" ma:versionID="2c01b14d9dc9f5eb6f71ffda41303f6f">
  <xsd:schema xmlns:xsd="http://www.w3.org/2001/XMLSchema" xmlns:xs="http://www.w3.org/2001/XMLSchema" xmlns:p="http://schemas.microsoft.com/office/2006/metadata/properties" xmlns:ns1="http://schemas.microsoft.com/sharepoint/v3" xmlns:ns2="8e9b1da4-26b6-4b72-8bac-1602c3581ecc" xmlns:ns3="3e608ed0-5213-4dc3-bbc4-302361dd3390" targetNamespace="http://schemas.microsoft.com/office/2006/metadata/properties" ma:root="true" ma:fieldsID="8e373473df2f170f381332778765ec38" ns1:_="" ns2:_="" ns3:_="">
    <xsd:import namespace="http://schemas.microsoft.com/sharepoint/v3"/>
    <xsd:import namespace="8e9b1da4-26b6-4b72-8bac-1602c3581ecc"/>
    <xsd:import namespace="3e608ed0-5213-4dc3-bbc4-302361dd33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b1da4-26b6-4b72-8bac-1602c3581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608ed0-5213-4dc3-bbc4-302361dd33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0dd669-e0f0-4338-bf57-4dd150712fdd}" ma:internalName="TaxCatchAll" ma:showField="CatchAllData" ma:web="3e608ed0-5213-4dc3-bbc4-302361dd33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598C41-5FFA-42EB-8159-628360260D6B}">
  <ds:schemaRefs>
    <ds:schemaRef ds:uri="http://schemas.microsoft.com/sharepoint/v3/contenttype/forms"/>
  </ds:schemaRefs>
</ds:datastoreItem>
</file>

<file path=customXml/itemProps2.xml><?xml version="1.0" encoding="utf-8"?>
<ds:datastoreItem xmlns:ds="http://schemas.openxmlformats.org/officeDocument/2006/customXml" ds:itemID="{4AD71BE4-E7A1-4ED8-9DC2-9565D9EFC500}">
  <ds:schemaRefs>
    <ds:schemaRef ds:uri="http://schemas.microsoft.com/office/2006/metadata/properties"/>
    <ds:schemaRef ds:uri="http://schemas.microsoft.com/office/infopath/2007/PartnerControls"/>
    <ds:schemaRef ds:uri="http://schemas.microsoft.com/sharepoint/v3"/>
    <ds:schemaRef ds:uri="8e9b1da4-26b6-4b72-8bac-1602c3581ecc"/>
    <ds:schemaRef ds:uri="3e608ed0-5213-4dc3-bbc4-302361dd3390"/>
  </ds:schemaRefs>
</ds:datastoreItem>
</file>

<file path=customXml/itemProps3.xml><?xml version="1.0" encoding="utf-8"?>
<ds:datastoreItem xmlns:ds="http://schemas.openxmlformats.org/officeDocument/2006/customXml" ds:itemID="{F609CAA2-D412-4F52-B061-17BAAFACA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9b1da4-26b6-4b72-8bac-1602c3581ecc"/>
    <ds:schemaRef ds:uri="3e608ed0-5213-4dc3-bbc4-302361dd3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2069</Words>
  <Characters>11796</Characters>
  <Application>Microsoft Office Word</Application>
  <DocSecurity>0</DocSecurity>
  <Lines>98</Lines>
  <Paragraphs>27</Paragraphs>
  <ScaleCrop>false</ScaleCrop>
  <Company/>
  <LinksUpToDate>false</LinksUpToDate>
  <CharactersWithSpaces>13838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Session10_Retirement Readiness_Summary</dc:title>
  <dc:subject>Retirement Readiness</dc:subject>
  <dc:creator>University of Pittsburgh Office of Human Resources</dc:creator>
  <cp:keywords/>
  <dc:description/>
  <cp:lastModifiedBy>Zurowski, Laura P</cp:lastModifiedBy>
  <cp:revision>2</cp:revision>
  <cp:lastPrinted>2026-09-30T16:00:00Z</cp:lastPrinted>
  <dcterms:created xsi:type="dcterms:W3CDTF">2026-10-08T20:23:00Z</dcterms:created>
  <dcterms:modified xsi:type="dcterms:W3CDTF">2026-10-08T20:23:00Z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0x01010096C595752E20A64D93E946CD1C4D8FDA</vt:lpwstr>
  </property>
  <property fmtid="{D5CDD505-2E9C-101B-9397-08002B2CF9AE}" pid="3" name="MediaServiceImageTags">
    <vt:lpwstr/>
  </property>
</Properties>
</file>